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B" w:rsidRDefault="00841DFB" w:rsidP="00841DFB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841DFB" w:rsidRDefault="00841DFB" w:rsidP="00841DFB">
      <w:pPr>
        <w:ind w:right="71"/>
        <w:rPr>
          <w:rFonts w:asciiTheme="minorHAnsi" w:hAnsiTheme="minorHAnsi" w:cstheme="minorHAnsi"/>
          <w:b/>
          <w:szCs w:val="24"/>
        </w:rPr>
      </w:pPr>
    </w:p>
    <w:p w:rsidR="00841DFB" w:rsidRDefault="00841DFB" w:rsidP="00841DFB">
      <w:pPr>
        <w:ind w:right="71"/>
        <w:rPr>
          <w:rFonts w:asciiTheme="minorHAnsi" w:hAnsiTheme="minorHAnsi" w:cstheme="minorHAnsi"/>
          <w:b/>
          <w:szCs w:val="24"/>
        </w:rPr>
      </w:pPr>
    </w:p>
    <w:p w:rsidR="00841DFB" w:rsidRDefault="00841DFB" w:rsidP="00841DFB">
      <w:pPr>
        <w:spacing w:before="240" w:after="60" w:line="360" w:lineRule="auto"/>
        <w:jc w:val="center"/>
        <w:outlineLvl w:val="0"/>
        <w:rPr>
          <w:rFonts w:ascii="Calibri" w:hAnsi="Calibri" w:cs="Calibri"/>
          <w:b/>
          <w:bCs/>
          <w:kern w:val="28"/>
          <w:sz w:val="32"/>
          <w:szCs w:val="32"/>
        </w:rPr>
      </w:pPr>
      <w:r>
        <w:rPr>
          <w:rFonts w:ascii="Calibri" w:hAnsi="Calibri" w:cs="Calibri"/>
          <w:b/>
          <w:bCs/>
          <w:kern w:val="28"/>
          <w:sz w:val="32"/>
          <w:szCs w:val="32"/>
        </w:rPr>
        <w:t>Tervezési diszpozíció</w:t>
      </w:r>
    </w:p>
    <w:p w:rsidR="00841DFB" w:rsidRDefault="00841DFB" w:rsidP="00841DFB">
      <w:pPr>
        <w:pStyle w:val="Cmsor3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Calibri" w:hAnsi="Calibri" w:cs="Calibri"/>
          <w:color w:val="000000"/>
        </w:rPr>
      </w:pPr>
      <w:bookmarkStart w:id="1" w:name="_Toc136072887"/>
      <w:bookmarkStart w:id="2" w:name="_Toc137519900"/>
      <w:bookmarkStart w:id="3" w:name="_Toc137520837"/>
      <w:bookmarkStart w:id="4" w:name="_Toc137529038"/>
      <w:bookmarkStart w:id="5" w:name="_Toc139419723"/>
      <w:bookmarkStart w:id="6" w:name="_Toc139419804"/>
      <w:bookmarkStart w:id="7" w:name="_Toc136072888"/>
      <w:bookmarkStart w:id="8" w:name="_Toc137519901"/>
      <w:bookmarkStart w:id="9" w:name="_Toc137520838"/>
      <w:bookmarkStart w:id="10" w:name="_Toc137529039"/>
      <w:bookmarkStart w:id="11" w:name="_Toc139419724"/>
      <w:bookmarkStart w:id="12" w:name="_Toc139419805"/>
      <w:bookmarkStart w:id="13" w:name="_Toc136072889"/>
      <w:bookmarkStart w:id="14" w:name="_Toc137519902"/>
      <w:bookmarkStart w:id="15" w:name="_Toc137520839"/>
      <w:bookmarkStart w:id="16" w:name="_Toc137529040"/>
      <w:bookmarkStart w:id="17" w:name="_Toc139419725"/>
      <w:bookmarkStart w:id="18" w:name="_Toc139419806"/>
      <w:bookmarkStart w:id="19" w:name="_Toc136072890"/>
      <w:bookmarkStart w:id="20" w:name="_Toc137519903"/>
      <w:bookmarkStart w:id="21" w:name="_Toc137520840"/>
      <w:bookmarkStart w:id="22" w:name="_Toc137529041"/>
      <w:bookmarkStart w:id="23" w:name="_Toc139419726"/>
      <w:bookmarkStart w:id="24" w:name="_Toc139419807"/>
      <w:bookmarkStart w:id="25" w:name="_Toc136072892"/>
      <w:bookmarkStart w:id="26" w:name="_Toc137519905"/>
      <w:bookmarkStart w:id="27" w:name="_Toc137520842"/>
      <w:bookmarkStart w:id="28" w:name="_Toc137529043"/>
      <w:bookmarkStart w:id="29" w:name="_Toc139419728"/>
      <w:bookmarkStart w:id="30" w:name="_Toc139419809"/>
      <w:bookmarkStart w:id="31" w:name="_Toc136072894"/>
      <w:bookmarkStart w:id="32" w:name="_Toc137519907"/>
      <w:bookmarkStart w:id="33" w:name="_Toc137520844"/>
      <w:bookmarkStart w:id="34" w:name="_Toc137529045"/>
      <w:bookmarkStart w:id="35" w:name="_Toc139419730"/>
      <w:bookmarkStart w:id="36" w:name="_Toc139419811"/>
      <w:bookmarkStart w:id="37" w:name="_Toc74635329"/>
      <w:bookmarkStart w:id="38" w:name="_Toc77133620"/>
      <w:bookmarkStart w:id="39" w:name="_Toc77135476"/>
      <w:bookmarkStart w:id="40" w:name="_Toc77135881"/>
      <w:bookmarkStart w:id="41" w:name="_Toc77136026"/>
      <w:bookmarkStart w:id="42" w:name="_Toc77136126"/>
      <w:bookmarkStart w:id="43" w:name="_Toc79809347"/>
      <w:bookmarkStart w:id="44" w:name="_Toc74635330"/>
      <w:bookmarkStart w:id="45" w:name="_Toc77133621"/>
      <w:bookmarkStart w:id="46" w:name="_Toc77135477"/>
      <w:bookmarkStart w:id="47" w:name="_Toc77135882"/>
      <w:bookmarkStart w:id="48" w:name="_Toc77136027"/>
      <w:bookmarkStart w:id="49" w:name="_Toc77136127"/>
      <w:bookmarkStart w:id="50" w:name="_Toc79809348"/>
      <w:bookmarkStart w:id="51" w:name="_Toc74635331"/>
      <w:bookmarkStart w:id="52" w:name="_Toc77133622"/>
      <w:bookmarkStart w:id="53" w:name="_Toc77135478"/>
      <w:bookmarkStart w:id="54" w:name="_Toc77135883"/>
      <w:bookmarkStart w:id="55" w:name="_Toc77136028"/>
      <w:bookmarkStart w:id="56" w:name="_Toc77136128"/>
      <w:bookmarkStart w:id="57" w:name="_Toc79809349"/>
      <w:bookmarkStart w:id="58" w:name="_Toc74635332"/>
      <w:bookmarkStart w:id="59" w:name="_Toc77133623"/>
      <w:bookmarkStart w:id="60" w:name="_Toc77135479"/>
      <w:bookmarkStart w:id="61" w:name="_Toc77135884"/>
      <w:bookmarkStart w:id="62" w:name="_Toc77136029"/>
      <w:bookmarkStart w:id="63" w:name="_Toc77136129"/>
      <w:bookmarkStart w:id="64" w:name="_Toc79809350"/>
      <w:bookmarkStart w:id="65" w:name="_Toc74635333"/>
      <w:bookmarkStart w:id="66" w:name="_Toc77133624"/>
      <w:bookmarkStart w:id="67" w:name="_Toc77135480"/>
      <w:bookmarkStart w:id="68" w:name="_Toc77135885"/>
      <w:bookmarkStart w:id="69" w:name="_Toc77136030"/>
      <w:bookmarkStart w:id="70" w:name="_Toc77136130"/>
      <w:bookmarkStart w:id="71" w:name="_Toc79809351"/>
      <w:bookmarkStart w:id="72" w:name="_Toc74635335"/>
      <w:bookmarkStart w:id="73" w:name="_Toc77133626"/>
      <w:bookmarkStart w:id="74" w:name="_Toc77135482"/>
      <w:bookmarkStart w:id="75" w:name="_Toc77135887"/>
      <w:bookmarkStart w:id="76" w:name="_Toc77136032"/>
      <w:bookmarkStart w:id="77" w:name="_Toc77136132"/>
      <w:bookmarkStart w:id="78" w:name="_Toc79809353"/>
      <w:bookmarkStart w:id="79" w:name="_Toc127593961"/>
      <w:bookmarkStart w:id="80" w:name="_Toc127594143"/>
      <w:bookmarkStart w:id="81" w:name="_Toc127594225"/>
      <w:bookmarkStart w:id="82" w:name="_Toc128198022"/>
      <w:bookmarkStart w:id="83" w:name="_Toc129743946"/>
      <w:bookmarkStart w:id="84" w:name="_Toc129744096"/>
      <w:bookmarkStart w:id="85" w:name="_Toc129744195"/>
      <w:bookmarkStart w:id="86" w:name="_Toc129743949"/>
      <w:bookmarkStart w:id="87" w:name="_Toc129744099"/>
      <w:bookmarkStart w:id="88" w:name="_Toc129744198"/>
      <w:bookmarkStart w:id="89" w:name="_Toc129743951"/>
      <w:bookmarkStart w:id="90" w:name="_Toc129744101"/>
      <w:bookmarkStart w:id="91" w:name="_Toc129744200"/>
      <w:bookmarkStart w:id="92" w:name="_Toc129743954"/>
      <w:bookmarkStart w:id="93" w:name="_Toc129744104"/>
      <w:bookmarkStart w:id="94" w:name="_Toc129744203"/>
      <w:bookmarkStart w:id="95" w:name="_Toc129743957"/>
      <w:bookmarkStart w:id="96" w:name="_Toc129744107"/>
      <w:bookmarkStart w:id="97" w:name="_Toc129744206"/>
      <w:bookmarkStart w:id="98" w:name="_Toc129743958"/>
      <w:bookmarkStart w:id="99" w:name="_Toc129744108"/>
      <w:bookmarkStart w:id="100" w:name="_Toc129744207"/>
      <w:bookmarkStart w:id="101" w:name="_Toc129743959"/>
      <w:bookmarkStart w:id="102" w:name="_Toc129744109"/>
      <w:bookmarkStart w:id="103" w:name="_Toc129744208"/>
      <w:bookmarkStart w:id="104" w:name="_Toc129743961"/>
      <w:bookmarkStart w:id="105" w:name="_Toc129744111"/>
      <w:bookmarkStart w:id="106" w:name="_Toc129744210"/>
      <w:bookmarkStart w:id="107" w:name="_Toc129743965"/>
      <w:bookmarkStart w:id="108" w:name="_Toc129744115"/>
      <w:bookmarkStart w:id="109" w:name="_Toc129744214"/>
      <w:bookmarkStart w:id="110" w:name="_Toc129743968"/>
      <w:bookmarkStart w:id="111" w:name="_Toc129744118"/>
      <w:bookmarkStart w:id="112" w:name="_Toc129744217"/>
      <w:bookmarkStart w:id="113" w:name="_Toc129743971"/>
      <w:bookmarkStart w:id="114" w:name="_Toc129744121"/>
      <w:bookmarkStart w:id="115" w:name="_Toc129744220"/>
      <w:bookmarkStart w:id="116" w:name="_Toc129743972"/>
      <w:bookmarkStart w:id="117" w:name="_Toc129744122"/>
      <w:bookmarkStart w:id="118" w:name="_Toc129744221"/>
      <w:bookmarkStart w:id="119" w:name="_Toc299160837"/>
      <w:bookmarkStart w:id="120" w:name="_Toc300379414"/>
      <w:bookmarkStart w:id="121" w:name="_Toc300385253"/>
      <w:bookmarkStart w:id="122" w:name="_Toc329588136"/>
      <w:bookmarkStart w:id="123" w:name="_Toc330183461"/>
      <w:bookmarkStart w:id="124" w:name="_Toc347822057"/>
      <w:bookmarkStart w:id="125" w:name="_Toc495364363"/>
      <w:bookmarkStart w:id="126" w:name="_Toc57171327"/>
      <w:bookmarkStart w:id="127" w:name="_Toc57705209"/>
      <w:bookmarkStart w:id="128" w:name="_Toc72115221"/>
      <w:bookmarkStart w:id="129" w:name="_Toc125870431"/>
      <w:bookmarkStart w:id="130" w:name="_Toc129744152"/>
      <w:bookmarkStart w:id="131" w:name="_Toc299160842"/>
      <w:bookmarkStart w:id="132" w:name="_Toc300379419"/>
      <w:bookmarkStart w:id="133" w:name="_Toc300385258"/>
      <w:bookmarkStart w:id="134" w:name="_Toc329588141"/>
      <w:bookmarkStart w:id="135" w:name="_Toc330183466"/>
      <w:bookmarkStart w:id="136" w:name="_Toc347822062"/>
      <w:bookmarkStart w:id="137" w:name="_Toc495364368"/>
      <w:bookmarkStart w:id="138" w:name="_Toc57171332"/>
      <w:bookmarkStart w:id="139" w:name="_Toc57171479"/>
      <w:bookmarkStart w:id="140" w:name="_Toc57705214"/>
      <w:bookmarkStart w:id="141" w:name="_Toc57785069"/>
      <w:bookmarkStart w:id="142" w:name="_Toc721152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841DFB" w:rsidRDefault="00841DFB" w:rsidP="00841DFB">
      <w:pPr>
        <w:rPr>
          <w:lang w:eastAsia="hu-HU"/>
        </w:rPr>
      </w:pPr>
    </w:p>
    <w:p w:rsidR="00841DFB" w:rsidRDefault="00841DFB" w:rsidP="00841DFB">
      <w:pPr>
        <w:rPr>
          <w:lang w:eastAsia="hu-HU"/>
        </w:rPr>
      </w:pPr>
    </w:p>
    <w:p w:rsidR="00841DFB" w:rsidRDefault="00841DFB" w:rsidP="00841DFB">
      <w:pPr>
        <w:jc w:val="both"/>
        <w:rPr>
          <w:rFonts w:ascii="Calibri" w:hAnsi="Calibri"/>
        </w:rPr>
      </w:pPr>
    </w:p>
    <w:p w:rsidR="00841DFB" w:rsidRDefault="00841DFB" w:rsidP="00841D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Száva villamos kocsiszínek fűtésrekonstrukciójának tervezéséhez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Társaságunk az elmúlt években, 2014 és 2015-ben, sikeresen megvalósította és lebonyolította két telephelyen (Zugló villamos kocsiszín és </w:t>
      </w:r>
      <w:proofErr w:type="spellStart"/>
      <w:r>
        <w:rPr>
          <w:rFonts w:ascii="Calibri" w:hAnsi="Calibri"/>
          <w:szCs w:val="24"/>
        </w:rPr>
        <w:t>Cinkota</w:t>
      </w:r>
      <w:proofErr w:type="spellEnd"/>
      <w:r>
        <w:rPr>
          <w:rFonts w:ascii="Calibri" w:hAnsi="Calibri"/>
          <w:szCs w:val="24"/>
        </w:rPr>
        <w:t xml:space="preserve"> HÉV járműtelep) az elavult fűtési rendszerek rekonstrukcióját, melynek eredményeképpen az eddig eltelt időintervallumot és a megvalósítás előtti időszakot figyelembe véve a gázfogyasztás jelentősen csökkent. Az energiahatékonyság és energiatakarékosság további javítása érdekében a BKV Zrt. újabb két telephely, Száva és </w:t>
      </w:r>
      <w:proofErr w:type="spellStart"/>
      <w:r>
        <w:rPr>
          <w:rFonts w:ascii="Calibri" w:hAnsi="Calibri"/>
          <w:szCs w:val="24"/>
        </w:rPr>
        <w:t>Szépilona</w:t>
      </w:r>
      <w:proofErr w:type="spellEnd"/>
      <w:r>
        <w:rPr>
          <w:rFonts w:ascii="Calibri" w:hAnsi="Calibri"/>
          <w:szCs w:val="24"/>
        </w:rPr>
        <w:t xml:space="preserve"> villamos kocsiszínek fűtésrendszerének korszerűsítését, ezek engedélyezett kiviteli terveinek elkészítését tűzte ki célul.</w:t>
      </w:r>
    </w:p>
    <w:p w:rsidR="00841DFB" w:rsidRDefault="00841DFB" w:rsidP="00841DFB">
      <w:pPr>
        <w:jc w:val="both"/>
        <w:rPr>
          <w:rFonts w:ascii="Calibri" w:hAnsi="Calibri"/>
          <w:b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Száva villamos kocsiszín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villamos telephelyen több épület található, melyek fűtését egy központi kazánházból biztosítják. Az épületek között földben vezetett távvezeték segítségével szállítják a szükséges hőmennyiséget kontrolálhatatlan </w:t>
      </w:r>
      <w:proofErr w:type="spellStart"/>
      <w:r>
        <w:rPr>
          <w:rFonts w:ascii="Calibri" w:hAnsi="Calibri"/>
          <w:szCs w:val="24"/>
        </w:rPr>
        <w:t>hőveszteséggel</w:t>
      </w:r>
      <w:proofErr w:type="spellEnd"/>
      <w:r>
        <w:rPr>
          <w:rFonts w:ascii="Calibri" w:hAnsi="Calibri"/>
          <w:szCs w:val="24"/>
        </w:rPr>
        <w:t xml:space="preserve">.  A kazánházban AF 105 FÉG </w:t>
      </w:r>
      <w:proofErr w:type="spellStart"/>
      <w:r>
        <w:rPr>
          <w:rFonts w:ascii="Calibri" w:hAnsi="Calibri"/>
          <w:szCs w:val="24"/>
        </w:rPr>
        <w:t>Vestale</w:t>
      </w:r>
      <w:proofErr w:type="spellEnd"/>
      <w:r>
        <w:rPr>
          <w:rFonts w:ascii="Calibri" w:hAnsi="Calibri"/>
          <w:szCs w:val="24"/>
        </w:rPr>
        <w:t xml:space="preserve"> modul kazánok működnek, melyeket 1991-ben telepítettek. 10 db modul kazán biztosítja a meleg vízellátást és 10 db modul kazán az épületek fűtését. Az elavult régi kazánok közül a karbantartások hiánya miatt a berendezések fele üzemképtelen és javításra vár. A szivattyúk korszerűtlenek, a fűtési </w:t>
      </w:r>
      <w:proofErr w:type="gramStart"/>
      <w:r>
        <w:rPr>
          <w:rFonts w:ascii="Calibri" w:hAnsi="Calibri"/>
          <w:szCs w:val="24"/>
        </w:rPr>
        <w:t>rendszer szabályozás</w:t>
      </w:r>
      <w:proofErr w:type="gramEnd"/>
      <w:r>
        <w:rPr>
          <w:rFonts w:ascii="Calibri" w:hAnsi="Calibri"/>
          <w:szCs w:val="24"/>
        </w:rPr>
        <w:t xml:space="preserve"> nélkül működik. A szociális és iroda épületben részben öntöttvas radiátorok, részben lapradiátorok találhatók. Az épületek jelentős részében régi, egyrétegű fémkeretes ablakok és rosszul záródó bejárati ajtók és kapuk vannak. A kocsiszínben az öntöttvas radiátorok mellett hőlégbefúvók biztosítják a fűtést, valamint a szerelő aknákban csőregiszterek is működnek.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fűtésrekonstrukció során javasoljuk a modul kazánok cseréjét korszerű kazánokra, a meglévő kémények cseréjét, az öltöző épület és a csarnok épület tetején statikai szakvélemény alapján napkollektorok telepítését, melyekkel a </w:t>
      </w:r>
      <w:proofErr w:type="spellStart"/>
      <w:r>
        <w:rPr>
          <w:rFonts w:ascii="Calibri" w:hAnsi="Calibri"/>
          <w:szCs w:val="24"/>
        </w:rPr>
        <w:t>melegvíz</w:t>
      </w:r>
      <w:proofErr w:type="spellEnd"/>
      <w:r>
        <w:rPr>
          <w:rFonts w:ascii="Calibri" w:hAnsi="Calibri"/>
          <w:szCs w:val="24"/>
        </w:rPr>
        <w:t xml:space="preserve"> ellátás biztosítható. Mivel a fűtési rendszer jelenleg nem szabályozható, ezért javasoljuk külső hőmérsékletszabályozók beépítését. A kocsiszíni épületben a hőlégbefúvókat és szükség szerint a radiátorokat cserélni kell, valamint meg kell tervezni az aknák fűtését. Szükséges a szociális és iroda épületekben a radiátorok műszaki felülvizsgálata, szükség szerinti cseréje és valamennyi radiátor termosztatikus elzáró szelepekkel történő ellátása. Javasoljuk a távvezeték kiváltását és a forgalmi és üzemvezetői épületekben helyi cirkó kazánok elhelyezését. Az épületek </w:t>
      </w:r>
      <w:proofErr w:type="spellStart"/>
      <w:r>
        <w:rPr>
          <w:rFonts w:ascii="Calibri" w:hAnsi="Calibri"/>
          <w:szCs w:val="24"/>
        </w:rPr>
        <w:t>hőtechnikai</w:t>
      </w:r>
      <w:proofErr w:type="spellEnd"/>
      <w:r>
        <w:rPr>
          <w:rFonts w:ascii="Calibri" w:hAnsi="Calibri"/>
          <w:szCs w:val="24"/>
        </w:rPr>
        <w:t xml:space="preserve"> rendszerének javítása érdekében szükséges a nyílászárók felülvizsgálata és szükség szerinti cseréje.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Az alábbi táblázat mutatja az elmúlt évek felhasznált hőmennyiségét és a fűtési költségeket.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3260"/>
      </w:tblGrid>
      <w:tr w:rsidR="00841DFB" w:rsidTr="00841DFB">
        <w:trPr>
          <w:trHeight w:val="552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Száva villamos kocsiszín földgáz fogyasztása</w:t>
            </w:r>
          </w:p>
        </w:tc>
      </w:tr>
      <w:tr w:rsidR="00841DFB" w:rsidTr="00841DFB">
        <w:trPr>
          <w:trHeight w:val="5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Év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Földgáz mennyiség m3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Fűtési költség (Ft)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270 632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28 800 046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273 053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32 313 647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233 821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31 959 293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209 988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27 298 675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194 585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22 884 281</w:t>
            </w:r>
          </w:p>
        </w:tc>
      </w:tr>
      <w:tr w:rsidR="00841DFB" w:rsidTr="00841DF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244 748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 w:rsidP="0006768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54 800</w:t>
            </w:r>
          </w:p>
        </w:tc>
      </w:tr>
    </w:tbl>
    <w:p w:rsidR="00841DFB" w:rsidRDefault="00841DFB" w:rsidP="00841DFB">
      <w:pPr>
        <w:jc w:val="both"/>
        <w:rPr>
          <w:rFonts w:ascii="Calibri" w:hAnsi="Calibri"/>
          <w:b/>
          <w:szCs w:val="24"/>
        </w:rPr>
      </w:pPr>
    </w:p>
    <w:p w:rsidR="00841DFB" w:rsidRDefault="00841DFB" w:rsidP="00841DFB">
      <w:pPr>
        <w:ind w:right="7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hatósági díjak, illetékek a nyertes tervezőt terheli. </w:t>
      </w:r>
    </w:p>
    <w:p w:rsidR="00841DFB" w:rsidRDefault="00841DFB" w:rsidP="00841DFB">
      <w:pPr>
        <w:jc w:val="both"/>
        <w:rPr>
          <w:rFonts w:ascii="Calibri" w:hAnsi="Calibri"/>
        </w:rPr>
      </w:pPr>
    </w:p>
    <w:p w:rsidR="00841DFB" w:rsidRDefault="00841DFB" w:rsidP="00841DFB">
      <w:pPr>
        <w:jc w:val="both"/>
        <w:rPr>
          <w:rFonts w:ascii="Calibri" w:hAnsi="Calibri"/>
        </w:rPr>
      </w:pPr>
    </w:p>
    <w:p w:rsidR="00841DFB" w:rsidRDefault="00841DFB" w:rsidP="00841DFB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Szépilona</w:t>
      </w:r>
      <w:proofErr w:type="spellEnd"/>
      <w:r>
        <w:rPr>
          <w:rFonts w:ascii="Calibri" w:hAnsi="Calibri"/>
          <w:b/>
          <w:sz w:val="28"/>
          <w:szCs w:val="28"/>
        </w:rPr>
        <w:t xml:space="preserve"> villamos kocsiszín fűtésrekonstrukciójának tervezéséhez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Társaságunk az elmúlt években, 2014 és 2015-ben, sikeresen megvalósította és lebonyolította két telephelyen (Zugló villamos kocsiszín és </w:t>
      </w:r>
      <w:proofErr w:type="spellStart"/>
      <w:r>
        <w:rPr>
          <w:rFonts w:ascii="Calibri" w:hAnsi="Calibri"/>
          <w:szCs w:val="24"/>
        </w:rPr>
        <w:t>Cinkota</w:t>
      </w:r>
      <w:proofErr w:type="spellEnd"/>
      <w:r>
        <w:rPr>
          <w:rFonts w:ascii="Calibri" w:hAnsi="Calibri"/>
          <w:szCs w:val="24"/>
        </w:rPr>
        <w:t xml:space="preserve"> HÉV járműtelep) az elavult fűtési rendszerek rekonstrukcióját, melynek eredményeképpen az eddig eltelt időintervallumot és a megvalósítás előtti időszakot figyelembe véve a gázfogyasztás jelentősen csökkent. Az energiahatékonyság és energiatakarékosság további javítása érdekében a BKV Zrt. újabb két telephely, Száva és </w:t>
      </w:r>
      <w:proofErr w:type="spellStart"/>
      <w:r>
        <w:rPr>
          <w:rFonts w:ascii="Calibri" w:hAnsi="Calibri"/>
          <w:szCs w:val="24"/>
        </w:rPr>
        <w:t>Szépilona</w:t>
      </w:r>
      <w:proofErr w:type="spellEnd"/>
      <w:r>
        <w:rPr>
          <w:rFonts w:ascii="Calibri" w:hAnsi="Calibri"/>
          <w:szCs w:val="24"/>
        </w:rPr>
        <w:t xml:space="preserve"> villamos kocsiszínek fűtésrendszerének korszerűsítését, ezek engedélyezett kiviteli terveinek elkészítését tűzte ki célul.</w:t>
      </w:r>
    </w:p>
    <w:p w:rsidR="00841DFB" w:rsidRDefault="00841DFB" w:rsidP="00841DFB">
      <w:pPr>
        <w:jc w:val="both"/>
        <w:rPr>
          <w:rFonts w:ascii="Calibri" w:hAnsi="Calibri"/>
          <w:b/>
          <w:szCs w:val="24"/>
        </w:rPr>
      </w:pPr>
    </w:p>
    <w:p w:rsidR="00841DFB" w:rsidRDefault="00841DFB" w:rsidP="00841DFB">
      <w:pPr>
        <w:jc w:val="both"/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Szépilona</w:t>
      </w:r>
      <w:proofErr w:type="spellEnd"/>
      <w:r>
        <w:rPr>
          <w:rFonts w:ascii="Calibri" w:hAnsi="Calibri"/>
          <w:b/>
          <w:szCs w:val="24"/>
        </w:rPr>
        <w:t xml:space="preserve"> villamos kocsiszín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telephelyen több épület található, melyek fűtését a kocsiszínben elhelyezett kazánházból látják el. A kazánházban 3 db </w:t>
      </w:r>
      <w:proofErr w:type="spellStart"/>
      <w:r>
        <w:rPr>
          <w:rFonts w:ascii="Calibri" w:hAnsi="Calibri"/>
          <w:szCs w:val="24"/>
        </w:rPr>
        <w:t>Láng-Ygnis</w:t>
      </w:r>
      <w:proofErr w:type="spellEnd"/>
      <w:r>
        <w:rPr>
          <w:rFonts w:ascii="Calibri" w:hAnsi="Calibri"/>
          <w:szCs w:val="24"/>
        </w:rPr>
        <w:t xml:space="preserve"> kazán üzemel, melyeket 1984-ben telepítettek. A kazánházból rossz állapotú, több helyen sérült szigeteléssel burkolt csővezetéken nagy hő veszteséggel jut el a forró víz a többi épületbe. A csővezeték részben földben fut, részben lábakon álló csőrendszerben kering. A fűtési rendszer szabályozása nincs megoldva. A csarnok épületben régi, elavult már részben nem működő hőlégbefúvók valamint radiátorok találhatók. Az aknákban csőregiszteres aknafűtés került telepítésre. A rozsdás acélkeretben lévő egyrétegűek ablakok </w:t>
      </w:r>
      <w:proofErr w:type="spellStart"/>
      <w:r>
        <w:rPr>
          <w:rFonts w:ascii="Calibri" w:hAnsi="Calibri"/>
          <w:szCs w:val="24"/>
        </w:rPr>
        <w:t>hőtechnikailag</w:t>
      </w:r>
      <w:proofErr w:type="spellEnd"/>
      <w:r>
        <w:rPr>
          <w:rFonts w:ascii="Calibri" w:hAnsi="Calibri"/>
          <w:szCs w:val="24"/>
        </w:rPr>
        <w:t xml:space="preserve"> nem megfelelőek. A csarnok 3-4-5-6-os vágányoknál egyáltalán nincs fűtés kiépítve. A szociális épületben a nyílászárók cseréje megtörtént, a helyiségekben lapradiátorok működnek. </w:t>
      </w:r>
      <w:proofErr w:type="gramStart"/>
      <w:r>
        <w:rPr>
          <w:rFonts w:ascii="Calibri" w:hAnsi="Calibri"/>
          <w:szCs w:val="24"/>
        </w:rPr>
        <w:t>A  meglévő</w:t>
      </w:r>
      <w:proofErr w:type="gramEnd"/>
      <w:r>
        <w:rPr>
          <w:rFonts w:ascii="Calibri" w:hAnsi="Calibri"/>
          <w:szCs w:val="24"/>
        </w:rPr>
        <w:t xml:space="preserve"> meleg víz puffer tároló korszerűtlen, gazdaságtalan, rossz műszaki állapotú.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fűtésrekonstrukció során javasoljuk megszüntetni a </w:t>
      </w:r>
      <w:proofErr w:type="spellStart"/>
      <w:r>
        <w:rPr>
          <w:rFonts w:ascii="Calibri" w:hAnsi="Calibri"/>
          <w:szCs w:val="24"/>
        </w:rPr>
        <w:t>távhő</w:t>
      </w:r>
      <w:proofErr w:type="spellEnd"/>
      <w:r>
        <w:rPr>
          <w:rFonts w:ascii="Calibri" w:hAnsi="Calibri"/>
          <w:szCs w:val="24"/>
        </w:rPr>
        <w:t xml:space="preserve"> vezeték rendszert és a szociális épületekben helyileg ki kell alakítani egy-egy kis kazánházat, ahol helyi kazánokkal biztosítható a </w:t>
      </w:r>
      <w:proofErr w:type="spellStart"/>
      <w:r>
        <w:rPr>
          <w:rFonts w:ascii="Calibri" w:hAnsi="Calibri"/>
          <w:szCs w:val="24"/>
        </w:rPr>
        <w:t>melegvíz</w:t>
      </w:r>
      <w:proofErr w:type="spellEnd"/>
      <w:r>
        <w:rPr>
          <w:rFonts w:ascii="Calibri" w:hAnsi="Calibri"/>
          <w:szCs w:val="24"/>
        </w:rPr>
        <w:t xml:space="preserve"> termelés és a fűtés hőmennyisége. A szociális épület tetején javasoljuk elhelyezni a napkollektorokat, amelyekkel a </w:t>
      </w:r>
      <w:proofErr w:type="spellStart"/>
      <w:r>
        <w:rPr>
          <w:rFonts w:ascii="Calibri" w:hAnsi="Calibri"/>
          <w:szCs w:val="24"/>
        </w:rPr>
        <w:t>melegvíz</w:t>
      </w:r>
      <w:proofErr w:type="spellEnd"/>
      <w:r>
        <w:rPr>
          <w:rFonts w:ascii="Calibri" w:hAnsi="Calibri"/>
          <w:szCs w:val="24"/>
        </w:rPr>
        <w:t xml:space="preserve"> ellátás biztosítható. A kocsiszíni épületben található kazánház esetében szükséges az elavult kazánok és a fűtési rendszerhez kapcsolódó berendezések cseréje korszerű berendezésekre, valamint a csarnokrészekben a hőlégbefúvók, radiátorok, csőregiszterek szükség szerinti cseréje. Valamennyi épület esetében a radiátorokat termosztatikus radiátor szeleppel kell ellátni és mivel a fűtési rendszer jelenleg nem szabályozható, ezért belső hőmérsékletszabályozó beépítését javasoljuk.  A csarnok épület esetében szükséges a nyílászárók felülvizsgálat és az ablakok, ajtók, kapuk szükség szerinti cseréje.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Mindkét telephely esetében a nyertes tervező tervezze meg a teljes fűtésrendszer átalakítását valamennyi épület </w:t>
      </w:r>
      <w:proofErr w:type="spellStart"/>
      <w:r>
        <w:rPr>
          <w:rFonts w:ascii="Calibri" w:hAnsi="Calibri"/>
          <w:szCs w:val="24"/>
        </w:rPr>
        <w:t>hőtechnikai</w:t>
      </w:r>
      <w:proofErr w:type="spellEnd"/>
      <w:r>
        <w:rPr>
          <w:rFonts w:ascii="Calibri" w:hAnsi="Calibri"/>
          <w:szCs w:val="24"/>
        </w:rPr>
        <w:t xml:space="preserve"> felülvizsgálatával együtt, a terveket engedélyeztesse, majd készítse el a kiviteli terveket költségvetés kiírással és tervezői költségbecsléssel együtt. Amennyiben lehetőség nyílik arra, hogy a fűtésrekonstrukció EU-s forrásból pályázat formájában el tudjuk számolni, a tervező álljon rendelkezésre pályázati dokumentáció elkészítéshez. 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Az alábbi táblázat mutatja az elmúlt évek felhasznált hőmennyiségét és a fűtési költségeket.</w:t>
      </w:r>
    </w:p>
    <w:p w:rsidR="00841DFB" w:rsidRDefault="00841DFB" w:rsidP="00841DFB">
      <w:pPr>
        <w:jc w:val="both"/>
        <w:rPr>
          <w:rFonts w:ascii="Calibri" w:hAnsi="Calibri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2693"/>
      </w:tblGrid>
      <w:tr w:rsidR="00841DFB" w:rsidTr="00841DFB">
        <w:trPr>
          <w:trHeight w:val="516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Cs w:val="24"/>
              </w:rPr>
              <w:t>Szépilona</w:t>
            </w:r>
            <w:proofErr w:type="spellEnd"/>
            <w:r>
              <w:rPr>
                <w:rFonts w:ascii="Calibri" w:hAnsi="Calibri"/>
                <w:b/>
                <w:bCs/>
                <w:szCs w:val="24"/>
              </w:rPr>
              <w:t xml:space="preserve"> villamos kocsiszín földgáz fogyasztása</w:t>
            </w:r>
          </w:p>
        </w:tc>
      </w:tr>
      <w:tr w:rsidR="00841DFB" w:rsidTr="00841DFB">
        <w:trPr>
          <w:trHeight w:val="5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Év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Földgáz mennyiség 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DFB" w:rsidRDefault="00841DF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Fűtési költség (Ft)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260 689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27 767 771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260 895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31 323 074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236 363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32 346 421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260 454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31 265 584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204 513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23 752 809</w:t>
            </w:r>
          </w:p>
        </w:tc>
      </w:tr>
      <w:tr w:rsidR="00841DFB" w:rsidTr="00841DFB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229 984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DFB" w:rsidRDefault="00841D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23 344 465</w:t>
            </w:r>
          </w:p>
        </w:tc>
      </w:tr>
    </w:tbl>
    <w:p w:rsidR="00841DFB" w:rsidRDefault="00841DFB" w:rsidP="00841DFB">
      <w:pPr>
        <w:jc w:val="both"/>
        <w:rPr>
          <w:rFonts w:ascii="Calibri" w:hAnsi="Calibri"/>
          <w:szCs w:val="24"/>
        </w:rPr>
      </w:pPr>
    </w:p>
    <w:p w:rsidR="00841DFB" w:rsidRDefault="00841DFB" w:rsidP="00841DFB">
      <w:pPr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A hatósági díjak, illetékek a nyertes tervezőt terheli.</w:t>
      </w:r>
    </w:p>
    <w:p w:rsidR="00841DFB" w:rsidRDefault="00841DFB" w:rsidP="00841DFB">
      <w:pPr>
        <w:jc w:val="both"/>
      </w:pPr>
    </w:p>
    <w:p w:rsidR="00841DFB" w:rsidRDefault="00841DFB" w:rsidP="00841DFB">
      <w:pPr>
        <w:jc w:val="both"/>
      </w:pPr>
    </w:p>
    <w:p w:rsidR="00841DFB" w:rsidRDefault="00841DFB" w:rsidP="00841DFB">
      <w:pPr>
        <w:pStyle w:val="Cmsor3"/>
        <w:keepNext w:val="0"/>
        <w:numPr>
          <w:ilvl w:val="0"/>
          <w:numId w:val="4"/>
        </w:numPr>
        <w:tabs>
          <w:tab w:val="left" w:pos="708"/>
        </w:tabs>
        <w:spacing w:before="0" w:after="0"/>
        <w:ind w:hanging="720"/>
        <w:jc w:val="both"/>
        <w:rPr>
          <w:rFonts w:ascii="Calibri" w:hAnsi="Calibri" w:cs="Calibri"/>
          <w:color w:val="000000"/>
        </w:rPr>
      </w:pPr>
      <w:bookmarkStart w:id="143" w:name="_Toc442189456"/>
      <w:r>
        <w:rPr>
          <w:rFonts w:ascii="Calibri" w:hAnsi="Calibri" w:cs="Calibri"/>
          <w:color w:val="000000"/>
        </w:rPr>
        <w:t>ÁLTALÁNOS TUDNIVALÓK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43"/>
    </w:p>
    <w:p w:rsidR="00841DFB" w:rsidRDefault="00841DFB" w:rsidP="00841DFB">
      <w:pPr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ind w:left="70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műszaki előírások a szerződés követelményeinek bővítését, részletezését célozzák és semmi, ami a műszaki előírásban rögzített, nem csökkenti a szerződéses feltételek tartalmát, nem csökkenti a vállalkozó felelősségét az említett szerződésben vállalt bármilyen kötelezettsége alól.</w:t>
      </w:r>
    </w:p>
    <w:p w:rsidR="00841DFB" w:rsidRDefault="00841DFB" w:rsidP="00841DFB">
      <w:pPr>
        <w:ind w:left="703"/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pStyle w:val="Cmsor3"/>
        <w:keepNext w:val="0"/>
        <w:numPr>
          <w:ilvl w:val="0"/>
          <w:numId w:val="4"/>
        </w:numPr>
        <w:tabs>
          <w:tab w:val="left" w:pos="708"/>
        </w:tabs>
        <w:spacing w:before="0" w:after="0"/>
        <w:ind w:hanging="720"/>
        <w:jc w:val="both"/>
        <w:rPr>
          <w:rFonts w:ascii="Calibri" w:hAnsi="Calibri" w:cs="Calibri"/>
          <w:color w:val="000000"/>
        </w:rPr>
      </w:pPr>
      <w:bookmarkStart w:id="144" w:name="_Toc442189457"/>
      <w:r>
        <w:rPr>
          <w:rFonts w:ascii="Calibri" w:hAnsi="Calibri" w:cs="Calibri"/>
          <w:color w:val="000000"/>
        </w:rPr>
        <w:t>KÖTELEZŐ ALAPAJÁNLAT:</w:t>
      </w:r>
      <w:bookmarkEnd w:id="144"/>
    </w:p>
    <w:p w:rsidR="00841DFB" w:rsidRDefault="00841DFB" w:rsidP="00841DFB">
      <w:pPr>
        <w:ind w:left="703"/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numPr>
          <w:ilvl w:val="1"/>
          <w:numId w:val="5"/>
        </w:numPr>
        <w:suppressAutoHyphens/>
        <w:ind w:left="709" w:hanging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BKV Zrt. által szolgáltatott alapadatok figyelembe vételével az engedélyezési-, és kiviteli tervek elkészítése, a szükséges engedélyek beszerzése. A beépítésre kerülő anyagok teljesítményadatait a Tervezőnek meg kell adnia.</w:t>
      </w:r>
    </w:p>
    <w:p w:rsidR="00841DFB" w:rsidRDefault="00841DFB" w:rsidP="00841DFB">
      <w:pPr>
        <w:suppressAutoHyphens/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numPr>
          <w:ilvl w:val="1"/>
          <w:numId w:val="5"/>
        </w:numPr>
        <w:suppressAutoHyphens/>
        <w:ind w:left="709" w:hanging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Ajánlattevők ajánlatának teljes egészében meg kell egyezni az ajánlati dokumentációban előírtakkal.</w:t>
      </w:r>
    </w:p>
    <w:p w:rsidR="00841DFB" w:rsidRDefault="00841DFB" w:rsidP="00841DFB">
      <w:pPr>
        <w:suppressAutoHyphens/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pStyle w:val="Cmsor3"/>
        <w:keepNext w:val="0"/>
        <w:numPr>
          <w:ilvl w:val="0"/>
          <w:numId w:val="5"/>
        </w:numPr>
        <w:tabs>
          <w:tab w:val="left" w:pos="708"/>
        </w:tabs>
        <w:spacing w:before="0" w:after="0"/>
        <w:ind w:left="703" w:hanging="703"/>
        <w:jc w:val="both"/>
        <w:rPr>
          <w:rFonts w:ascii="Calibri" w:hAnsi="Calibri" w:cs="Calibri"/>
          <w:color w:val="000000"/>
        </w:rPr>
      </w:pPr>
      <w:bookmarkStart w:id="145" w:name="_Toc442189458"/>
      <w:r>
        <w:rPr>
          <w:rFonts w:ascii="Calibri" w:hAnsi="Calibri" w:cs="Calibri"/>
          <w:color w:val="000000"/>
        </w:rPr>
        <w:t>A MUNKAVÉGZÉSRE VONATKOZÓ ADATOK, OKIRATOK:</w:t>
      </w:r>
      <w:bookmarkEnd w:id="145"/>
    </w:p>
    <w:p w:rsidR="00841DFB" w:rsidRDefault="00841DFB" w:rsidP="00841DFB">
      <w:pPr>
        <w:suppressAutoHyphens/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numPr>
          <w:ilvl w:val="1"/>
          <w:numId w:val="5"/>
        </w:numPr>
        <w:suppressAutoHyphens/>
        <w:ind w:left="70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elvégzendő munka leírása:</w:t>
      </w:r>
    </w:p>
    <w:p w:rsidR="00841DFB" w:rsidRDefault="00841DFB" w:rsidP="00841DFB">
      <w:pPr>
        <w:ind w:left="705"/>
        <w:jc w:val="both"/>
        <w:rPr>
          <w:rFonts w:ascii="Calibri" w:hAnsi="Calibri" w:cs="Calibri"/>
          <w:b/>
          <w:color w:val="000000"/>
          <w:szCs w:val="24"/>
        </w:rPr>
      </w:pPr>
    </w:p>
    <w:p w:rsidR="00841DFB" w:rsidRDefault="00841DFB" w:rsidP="00841DFB">
      <w:pPr>
        <w:ind w:left="705"/>
        <w:jc w:val="both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Építésjogi engedélyezési és kiviteli tervdokumentáció elkészítése</w:t>
      </w:r>
    </w:p>
    <w:p w:rsidR="00841DFB" w:rsidRDefault="00841DFB" w:rsidP="00841DFB">
      <w:pPr>
        <w:ind w:left="705"/>
        <w:jc w:val="both"/>
        <w:rPr>
          <w:rFonts w:ascii="Calibri" w:hAnsi="Calibri" w:cs="Calibri"/>
          <w:color w:val="000000"/>
          <w:szCs w:val="24"/>
        </w:rPr>
      </w:pPr>
    </w:p>
    <w:p w:rsidR="00841DFB" w:rsidRDefault="00841DFB" w:rsidP="00841DFB">
      <w:pPr>
        <w:ind w:left="705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 szükséges engedélyek beszerzése során fellépő költségek (pl.: illetékek, postai költségek, engedélyezéshez szükséges Földhivatali dokumentumok – tulajdoni lap, térkép másolat – beszerzése, stb.) a nyertes vállalkozót terheli.</w:t>
      </w:r>
    </w:p>
    <w:p w:rsidR="00841DFB" w:rsidRDefault="00841DFB" w:rsidP="00841DFB">
      <w:pPr>
        <w:pStyle w:val="Default"/>
        <w:jc w:val="both"/>
        <w:rPr>
          <w:rFonts w:ascii="Calibri" w:hAnsi="Calibri"/>
          <w:b/>
          <w:bCs/>
        </w:rPr>
      </w:pPr>
    </w:p>
    <w:p w:rsidR="00841DFB" w:rsidRDefault="00841DFB" w:rsidP="00841DFB">
      <w:pPr>
        <w:pStyle w:val="Default"/>
        <w:ind w:firstLine="708"/>
        <w:jc w:val="both"/>
        <w:rPr>
          <w:rFonts w:ascii="Calibri" w:hAnsi="Calibri"/>
          <w:b/>
          <w:bCs/>
          <w:lang w:val="hu-HU"/>
        </w:rPr>
      </w:pPr>
      <w:r>
        <w:rPr>
          <w:rFonts w:ascii="Calibri" w:hAnsi="Calibri"/>
          <w:b/>
          <w:bCs/>
          <w:lang w:val="hu-HU"/>
        </w:rPr>
        <w:t xml:space="preserve">Építési engedélyezési tervek </w:t>
      </w:r>
    </w:p>
    <w:p w:rsidR="00841DFB" w:rsidRDefault="00841DFB" w:rsidP="00841DFB">
      <w:pPr>
        <w:pStyle w:val="Default"/>
        <w:numPr>
          <w:ilvl w:val="0"/>
          <w:numId w:val="6"/>
        </w:numPr>
        <w:spacing w:after="27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Épületvillamossági, villámvédelmi munkarész</w:t>
      </w:r>
    </w:p>
    <w:p w:rsidR="00841DFB" w:rsidRDefault="00841DFB" w:rsidP="00841DFB">
      <w:pPr>
        <w:pStyle w:val="Default"/>
        <w:numPr>
          <w:ilvl w:val="0"/>
          <w:numId w:val="6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Tűzvédelmi munkarész </w:t>
      </w:r>
    </w:p>
    <w:p w:rsidR="00841DFB" w:rsidRDefault="00841DFB" w:rsidP="00841DFB">
      <w:pPr>
        <w:pStyle w:val="Default"/>
        <w:numPr>
          <w:ilvl w:val="0"/>
          <w:numId w:val="6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Munkavédelmi munkarész</w:t>
      </w:r>
    </w:p>
    <w:p w:rsidR="00841DFB" w:rsidRDefault="00841DFB" w:rsidP="00841DFB">
      <w:pPr>
        <w:pStyle w:val="Default"/>
        <w:numPr>
          <w:ilvl w:val="0"/>
          <w:numId w:val="6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Környezetvédelmi munkarész, ezen belül építési és bontási hulladék tervlap</w:t>
      </w:r>
    </w:p>
    <w:p w:rsidR="00841DFB" w:rsidRDefault="00841DFB" w:rsidP="00841DFB">
      <w:pPr>
        <w:pStyle w:val="Default"/>
        <w:jc w:val="both"/>
        <w:rPr>
          <w:rFonts w:ascii="Calibri" w:hAnsi="Calibri"/>
          <w:lang w:val="hu-HU"/>
        </w:rPr>
      </w:pPr>
    </w:p>
    <w:p w:rsidR="00841DFB" w:rsidRDefault="00841DFB" w:rsidP="00841DFB">
      <w:pPr>
        <w:pStyle w:val="Default"/>
        <w:ind w:firstLine="360"/>
        <w:jc w:val="both"/>
        <w:rPr>
          <w:rFonts w:ascii="Calibri" w:hAnsi="Calibri"/>
          <w:b/>
          <w:bCs/>
          <w:lang w:val="hu-HU"/>
        </w:rPr>
      </w:pPr>
      <w:r>
        <w:rPr>
          <w:rFonts w:ascii="Calibri" w:hAnsi="Calibri"/>
          <w:b/>
          <w:bCs/>
          <w:lang w:val="hu-HU"/>
        </w:rPr>
        <w:t xml:space="preserve"> </w:t>
      </w:r>
      <w:r>
        <w:rPr>
          <w:rFonts w:ascii="Calibri" w:hAnsi="Calibri"/>
          <w:b/>
          <w:bCs/>
          <w:lang w:val="hu-HU"/>
        </w:rPr>
        <w:tab/>
        <w:t xml:space="preserve">Építési műszaki kivitelezési tervek </w:t>
      </w:r>
    </w:p>
    <w:p w:rsidR="00841DFB" w:rsidRDefault="00841DFB" w:rsidP="00841DFB">
      <w:pPr>
        <w:pStyle w:val="Default"/>
        <w:numPr>
          <w:ilvl w:val="0"/>
          <w:numId w:val="7"/>
        </w:numPr>
        <w:spacing w:after="28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Épületvillamossági, villámvédelmi munkarész 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Tűzvédelmi munkarész 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Munkavédelmi munkarész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Biztonsági és egészségvédelmi terv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Környezetvédelmi munkarész, ezen belül építési és bontási hulladék tervlap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TERC alapú, tételes, részletes, minden szakágra kiterjedő költségvetés-kiírás mennyiségi kimutatással, főösszesítővel, egységes </w:t>
      </w:r>
      <w:proofErr w:type="spellStart"/>
      <w:r>
        <w:rPr>
          <w:rFonts w:ascii="Calibri" w:hAnsi="Calibri"/>
          <w:lang w:val="hu-HU"/>
        </w:rPr>
        <w:t>excell</w:t>
      </w:r>
      <w:proofErr w:type="spellEnd"/>
      <w:r>
        <w:rPr>
          <w:rFonts w:ascii="Calibri" w:hAnsi="Calibri"/>
          <w:lang w:val="hu-HU"/>
        </w:rPr>
        <w:t xml:space="preserve"> formátumban is.</w:t>
      </w:r>
    </w:p>
    <w:p w:rsidR="00841DFB" w:rsidRDefault="00841DFB" w:rsidP="00841DFB">
      <w:pPr>
        <w:pStyle w:val="Default"/>
        <w:numPr>
          <w:ilvl w:val="0"/>
          <w:numId w:val="7"/>
        </w:numPr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TERC alapú, tételes Mérnökár képzés, részletes, minden szakágra kiterjedő árazott költségvetés, mennyiségi kimutatással, főösszesítővel, egységes </w:t>
      </w:r>
      <w:proofErr w:type="spellStart"/>
      <w:r>
        <w:rPr>
          <w:rFonts w:ascii="Calibri" w:hAnsi="Calibri"/>
          <w:lang w:val="hu-HU"/>
        </w:rPr>
        <w:t>excell</w:t>
      </w:r>
      <w:proofErr w:type="spellEnd"/>
      <w:r>
        <w:rPr>
          <w:rFonts w:ascii="Calibri" w:hAnsi="Calibri"/>
          <w:lang w:val="hu-HU"/>
        </w:rPr>
        <w:t xml:space="preserve"> formátumban, a becsült bekerülési költségről</w:t>
      </w:r>
    </w:p>
    <w:p w:rsidR="00841DFB" w:rsidRDefault="00841DFB" w:rsidP="00841DFB">
      <w:pPr>
        <w:pStyle w:val="Default"/>
        <w:jc w:val="both"/>
        <w:rPr>
          <w:rFonts w:ascii="Calibri" w:hAnsi="Calibri"/>
          <w:lang w:val="hu-HU"/>
        </w:rPr>
      </w:pPr>
    </w:p>
    <w:p w:rsidR="00841DFB" w:rsidRDefault="00841DFB" w:rsidP="00841DFB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rFonts w:ascii="Calibri" w:hAnsi="Calibri"/>
          <w:b/>
          <w:color w:val="000000"/>
          <w:szCs w:val="24"/>
        </w:rPr>
      </w:pPr>
      <w:r>
        <w:rPr>
          <w:rFonts w:ascii="Calibri" w:hAnsi="Calibri" w:cs="Tahoma"/>
          <w:b/>
          <w:color w:val="000000"/>
          <w:szCs w:val="24"/>
        </w:rPr>
        <w:t>Tervek tartalmi és formai követelményei:</w:t>
      </w:r>
    </w:p>
    <w:p w:rsidR="00841DFB" w:rsidRDefault="00841DFB" w:rsidP="00841DFB">
      <w:pPr>
        <w:ind w:left="1416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Az építési engedélyezési és kivitelezési dokumentációk tartalmát </w:t>
      </w:r>
      <w:r>
        <w:rPr>
          <w:rFonts w:ascii="Calibri" w:hAnsi="Calibri" w:cs="Tahoma"/>
          <w:color w:val="000000"/>
          <w:szCs w:val="24"/>
        </w:rPr>
        <w:t xml:space="preserve">az építésügyi és építésfelügyeleti hatósági eljárásokról és ellenőrzésekről, valamint az építésügyi hatósági szolgáltatásról szóló </w:t>
      </w:r>
      <w:r>
        <w:rPr>
          <w:rFonts w:ascii="Calibri" w:hAnsi="Calibri"/>
          <w:color w:val="000000"/>
          <w:szCs w:val="24"/>
        </w:rPr>
        <w:t>312/2012. (XI. 8.) Korm. rendelet 8. sz. mellékletében előírt tartalom, az építőipari kivitelezési tevékenységről szóló 191/2009 (IX.15.) Korm. rendelet 1. sz. mellékletében előírt tartalom szerint.</w:t>
      </w:r>
    </w:p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p w:rsidR="00841DFB" w:rsidRDefault="00841DFB" w:rsidP="00841DFB">
      <w:pPr>
        <w:jc w:val="both"/>
        <w:rPr>
          <w:rFonts w:ascii="Calibri" w:hAnsi="Calibri" w:cs="Calibri"/>
          <w:b/>
          <w:color w:val="000000"/>
        </w:rPr>
      </w:pPr>
    </w:p>
    <w:p w:rsidR="00841DFB" w:rsidRDefault="00841DFB" w:rsidP="00841DFB">
      <w:pPr>
        <w:pStyle w:val="Cmsor3"/>
        <w:numPr>
          <w:ilvl w:val="0"/>
          <w:numId w:val="5"/>
        </w:numPr>
        <w:tabs>
          <w:tab w:val="left" w:pos="708"/>
        </w:tabs>
        <w:spacing w:before="0" w:after="0"/>
        <w:ind w:left="703" w:hanging="703"/>
        <w:jc w:val="both"/>
        <w:rPr>
          <w:rFonts w:ascii="Calibri" w:hAnsi="Calibri" w:cs="Calibri"/>
          <w:color w:val="000000"/>
        </w:rPr>
      </w:pPr>
      <w:bookmarkStart w:id="146" w:name="_Toc442189459"/>
      <w:r>
        <w:rPr>
          <w:rFonts w:ascii="Calibri" w:hAnsi="Calibri" w:cs="Calibri"/>
          <w:color w:val="000000"/>
        </w:rPr>
        <w:t xml:space="preserve">FELEK EGYÜTTMŰKÖDÉSE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TERVEZÉSI TERÜLETTEL KAPCSOLATBAN</w:t>
      </w:r>
      <w:bookmarkEnd w:id="146"/>
    </w:p>
    <w:p w:rsidR="00841DFB" w:rsidRDefault="00841DFB" w:rsidP="00841DFB">
      <w:pPr>
        <w:ind w:left="705"/>
        <w:jc w:val="both"/>
        <w:rPr>
          <w:rFonts w:ascii="Calibri" w:hAnsi="Calibri" w:cs="Calibri"/>
          <w:b/>
          <w:color w:val="000000"/>
        </w:rPr>
      </w:pPr>
    </w:p>
    <w:p w:rsidR="00841DFB" w:rsidRDefault="00841DFB" w:rsidP="00841DFB">
      <w:pPr>
        <w:ind w:left="70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BKV Zrt. előzetesen egyeztetett időpontokban, biztosítja a tervezési terület hozzáférhetőségét a terület felméréséhez.</w:t>
      </w:r>
    </w:p>
    <w:p w:rsidR="00841DFB" w:rsidRDefault="00841DFB" w:rsidP="00841DFB">
      <w:pPr>
        <w:numPr>
          <w:ilvl w:val="1"/>
          <w:numId w:val="5"/>
        </w:numPr>
        <w:suppressAutoHyphens/>
        <w:spacing w:before="240"/>
        <w:ind w:left="703" w:hanging="703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>A Tervezők telephelyre történő beléptetéséhez, a munkák megkezdése előtt minimum 3 nappal, előzetesen névsort kell leadni, a dolgozók személyi adatainak, a munkavégzés időtartamának, a felméréshez szükséges eszközszállító jármű/járművek rendszámának felsorolásával.</w:t>
      </w:r>
    </w:p>
    <w:p w:rsidR="00841DFB" w:rsidRDefault="00841DFB" w:rsidP="00841DFB">
      <w:pPr>
        <w:jc w:val="both"/>
        <w:rPr>
          <w:rFonts w:ascii="Calibri" w:hAnsi="Calibri" w:cs="Calibri"/>
          <w:color w:val="000000"/>
        </w:rPr>
      </w:pPr>
    </w:p>
    <w:p w:rsidR="00841DFB" w:rsidRDefault="00841DFB" w:rsidP="00841DFB">
      <w:pPr>
        <w:pStyle w:val="Cmsor3"/>
        <w:numPr>
          <w:ilvl w:val="0"/>
          <w:numId w:val="5"/>
        </w:numPr>
        <w:tabs>
          <w:tab w:val="left" w:pos="708"/>
        </w:tabs>
        <w:spacing w:before="0" w:after="0"/>
        <w:ind w:left="703" w:hanging="703"/>
        <w:jc w:val="both"/>
        <w:rPr>
          <w:rFonts w:ascii="Calibri" w:hAnsi="Calibri" w:cs="Calibri"/>
          <w:color w:val="000000"/>
        </w:rPr>
      </w:pPr>
      <w:bookmarkStart w:id="147" w:name="_Toc442189460"/>
      <w:r>
        <w:rPr>
          <w:rFonts w:ascii="Calibri" w:hAnsi="Calibri" w:cs="Calibri"/>
          <w:color w:val="000000"/>
        </w:rPr>
        <w:t xml:space="preserve">SZABVÁNYOK </w:t>
      </w:r>
      <w:proofErr w:type="gramStart"/>
      <w:r>
        <w:rPr>
          <w:rFonts w:ascii="Calibri" w:hAnsi="Calibri" w:cs="Calibri"/>
          <w:color w:val="000000"/>
        </w:rPr>
        <w:t>ÉS</w:t>
      </w:r>
      <w:proofErr w:type="gramEnd"/>
      <w:r>
        <w:rPr>
          <w:rFonts w:ascii="Calibri" w:hAnsi="Calibri" w:cs="Calibri"/>
          <w:color w:val="000000"/>
        </w:rPr>
        <w:t xml:space="preserve"> JOGSZABÁLYOK</w:t>
      </w:r>
      <w:bookmarkEnd w:id="147"/>
    </w:p>
    <w:p w:rsidR="00841DFB" w:rsidRDefault="00841DFB" w:rsidP="00841DFB">
      <w:pPr>
        <w:jc w:val="both"/>
        <w:rPr>
          <w:rFonts w:ascii="Calibri" w:hAnsi="Calibri" w:cs="Calibri"/>
          <w:b/>
          <w:color w:val="000000"/>
        </w:rPr>
      </w:pPr>
    </w:p>
    <w:p w:rsidR="00841DFB" w:rsidRDefault="00841DFB" w:rsidP="00841DFB">
      <w:pPr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tervezés során az alábbi szabványokat, rendeleti előírásokat be kell tartani: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Tahoma"/>
          <w:color w:val="000000"/>
        </w:rPr>
        <w:t>312/2012. (XI. 8.) Korm. rendelet az építésügyi és építésfelügyeleti hatósági eljárásokról és ellenőrzésekről, valamint az építésügyi hatósági szolgáltatásról</w:t>
      </w:r>
    </w:p>
    <w:p w:rsidR="00841DFB" w:rsidRDefault="00841DFB" w:rsidP="00841DFB">
      <w:pPr>
        <w:pStyle w:val="Default"/>
        <w:numPr>
          <w:ilvl w:val="0"/>
          <w:numId w:val="9"/>
        </w:numPr>
        <w:tabs>
          <w:tab w:val="num" w:pos="1353"/>
        </w:tabs>
        <w:ind w:left="1353"/>
        <w:jc w:val="both"/>
        <w:rPr>
          <w:lang w:val="hu-HU"/>
        </w:rPr>
      </w:pPr>
      <w:r>
        <w:rPr>
          <w:rFonts w:ascii="Calibri" w:hAnsi="Calibri" w:cs="Calibri"/>
          <w:lang w:val="hu-HU"/>
        </w:rPr>
        <w:t>Magyar Mérnöki Kamara Építési engedélyezési - építési műszaki kivitelezési tervdokumentációk tartalmi és formai követelményei szabályzat I. kötet, épületekre, II. kötet, építményekre vonatkozó szabályok</w:t>
      </w:r>
    </w:p>
    <w:p w:rsidR="00841DFB" w:rsidRDefault="00841DFB" w:rsidP="00841DFB">
      <w:pPr>
        <w:pStyle w:val="Default"/>
        <w:numPr>
          <w:ilvl w:val="0"/>
          <w:numId w:val="9"/>
        </w:numPr>
        <w:tabs>
          <w:tab w:val="num" w:pos="1353"/>
        </w:tabs>
        <w:ind w:left="1353"/>
        <w:jc w:val="both"/>
        <w:rPr>
          <w:lang w:val="hu-HU"/>
        </w:rPr>
      </w:pPr>
      <w:r>
        <w:rPr>
          <w:rFonts w:ascii="Calibri" w:hAnsi="Calibri" w:cs="Calibri"/>
          <w:lang w:val="hu-HU"/>
        </w:rPr>
        <w:t>191/2009.(IX.15.) Korm. r. az építőipari kivitelezési tevékenységről</w:t>
      </w:r>
    </w:p>
    <w:p w:rsidR="00841DFB" w:rsidRDefault="00841DFB" w:rsidP="00841DFB">
      <w:pPr>
        <w:pStyle w:val="Default"/>
        <w:numPr>
          <w:ilvl w:val="0"/>
          <w:numId w:val="9"/>
        </w:numPr>
        <w:tabs>
          <w:tab w:val="num" w:pos="1276"/>
        </w:tabs>
        <w:ind w:hanging="432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 253/1997. (XII. 20.) Korm. Rendelet az országos településrendezési és építési követelményekről (OTÉK)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54/2014.(XII. 5.) BM rendelet az Országos Tűzvédelmi Szabályzatról (OTSZ)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45/2004.(VII. 26.) </w:t>
      </w:r>
      <w:proofErr w:type="spellStart"/>
      <w:r>
        <w:rPr>
          <w:rFonts w:ascii="Calibri" w:hAnsi="Calibri" w:cs="Calibri"/>
          <w:color w:val="000000"/>
        </w:rPr>
        <w:t>BM-KvVM</w:t>
      </w:r>
      <w:proofErr w:type="spellEnd"/>
      <w:r>
        <w:rPr>
          <w:rFonts w:ascii="Calibri" w:hAnsi="Calibri" w:cs="Calibri"/>
          <w:color w:val="000000"/>
        </w:rPr>
        <w:t xml:space="preserve"> együttes rendelet az építkezés során keletkező építési és bontási hulladékok kezelésének részletes szabályairól,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423" w:hanging="4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275/2013. (VII. 16.) Korm. rendelet az építési termék építménybe történő betervezésének, ennek során a teljesítmény igazolásának részletes szabályairól  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MSZ HD 60364 Épületek villamos berendezéseinek létesítése 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MSZ 2364 érintésvédelem,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1993. évi XCIII. Munkavédelmi törvény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3/2002 (II.8.) </w:t>
      </w:r>
      <w:proofErr w:type="spellStart"/>
      <w:r>
        <w:rPr>
          <w:rFonts w:ascii="Calibri" w:hAnsi="Calibri" w:cs="Calibri"/>
          <w:color w:val="000000"/>
        </w:rPr>
        <w:t>SzCsM-EüM</w:t>
      </w:r>
      <w:proofErr w:type="spellEnd"/>
      <w:r>
        <w:rPr>
          <w:rFonts w:ascii="Calibri" w:hAnsi="Calibri" w:cs="Calibri"/>
          <w:color w:val="000000"/>
        </w:rPr>
        <w:t xml:space="preserve"> együttes rendelet </w:t>
      </w:r>
      <w:r>
        <w:rPr>
          <w:rFonts w:ascii="Calibri" w:hAnsi="Calibri" w:cs="Calibri"/>
          <w:bCs/>
          <w:color w:val="000000"/>
          <w:szCs w:val="24"/>
        </w:rPr>
        <w:t>a munkahelyek munkavédelmi követelményeinek minimális szintjéről</w:t>
      </w:r>
    </w:p>
    <w:p w:rsidR="00841DFB" w:rsidRDefault="00841DFB" w:rsidP="00841DFB">
      <w:pPr>
        <w:numPr>
          <w:ilvl w:val="0"/>
          <w:numId w:val="9"/>
        </w:numPr>
        <w:tabs>
          <w:tab w:val="num" w:pos="1353"/>
        </w:tabs>
        <w:ind w:left="13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4/2002 (II.20.) </w:t>
      </w:r>
      <w:proofErr w:type="spellStart"/>
      <w:r>
        <w:rPr>
          <w:rFonts w:ascii="Calibri" w:hAnsi="Calibri" w:cs="Calibri"/>
          <w:color w:val="000000"/>
        </w:rPr>
        <w:t>SzCsM-EüM</w:t>
      </w:r>
      <w:proofErr w:type="spellEnd"/>
      <w:r>
        <w:rPr>
          <w:rFonts w:ascii="Calibri" w:hAnsi="Calibri" w:cs="Calibri"/>
          <w:color w:val="000000"/>
        </w:rPr>
        <w:t xml:space="preserve"> együttes rendelet </w:t>
      </w:r>
      <w:r>
        <w:rPr>
          <w:rFonts w:ascii="Calibri" w:hAnsi="Calibri" w:cs="Calibri"/>
          <w:bCs/>
          <w:color w:val="000000"/>
          <w:szCs w:val="24"/>
        </w:rPr>
        <w:t>az építési munkahelyeken és az építési folyamatok során megvalósítandó minimális munkavédelmi követelményekről</w:t>
      </w:r>
      <w:r>
        <w:rPr>
          <w:rFonts w:ascii="Calibri" w:hAnsi="Calibri" w:cs="Calibri"/>
          <w:color w:val="000000"/>
        </w:rPr>
        <w:t>,</w:t>
      </w:r>
    </w:p>
    <w:p w:rsidR="00841DFB" w:rsidRDefault="00841DFB" w:rsidP="00841DFB">
      <w:pPr>
        <w:jc w:val="both"/>
        <w:rPr>
          <w:b/>
          <w:color w:val="000000"/>
        </w:rPr>
      </w:pPr>
      <w:r>
        <w:rPr>
          <w:rFonts w:ascii="Calibri" w:hAnsi="Calibri" w:cs="Calibri"/>
          <w:b/>
          <w:color w:val="000000"/>
        </w:rPr>
        <w:t>A felsoroltakon kívül a tervezőnek, a tervezés időszakában minden érvényes rendeletet, szabványt és ágazati előírást figyelembe kell venni.</w:t>
      </w:r>
    </w:p>
    <w:p w:rsidR="00841DFB" w:rsidRDefault="00841DFB" w:rsidP="00841DFB">
      <w:pPr>
        <w:spacing w:line="360" w:lineRule="auto"/>
        <w:outlineLvl w:val="0"/>
        <w:rPr>
          <w:rFonts w:ascii="Calibri" w:hAnsi="Calibri" w:cs="Calibri"/>
          <w:b/>
          <w:szCs w:val="24"/>
        </w:rPr>
      </w:pPr>
    </w:p>
    <w:p w:rsidR="00841DFB" w:rsidRDefault="00841DFB" w:rsidP="00841DFB">
      <w:pPr>
        <w:spacing w:line="360" w:lineRule="auto"/>
        <w:jc w:val="center"/>
        <w:outlineLvl w:val="0"/>
        <w:rPr>
          <w:rFonts w:ascii="Calibri" w:hAnsi="Calibri" w:cs="Calibri"/>
          <w:b/>
          <w:szCs w:val="24"/>
        </w:rPr>
      </w:pPr>
    </w:p>
    <w:p w:rsidR="00D56830" w:rsidRDefault="00D56830"/>
    <w:sectPr w:rsidR="00D5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DE" w:rsidRDefault="00A00ADE" w:rsidP="00BF6A01">
      <w:r>
        <w:separator/>
      </w:r>
    </w:p>
  </w:endnote>
  <w:endnote w:type="continuationSeparator" w:id="0">
    <w:p w:rsidR="00A00ADE" w:rsidRDefault="00A00ADE" w:rsidP="00B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DE" w:rsidRDefault="00A00ADE" w:rsidP="00BF6A01">
      <w:r>
        <w:separator/>
      </w:r>
    </w:p>
  </w:footnote>
  <w:footnote w:type="continuationSeparator" w:id="0">
    <w:p w:rsidR="00A00ADE" w:rsidRDefault="00A00ADE" w:rsidP="00BF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1" w:rsidRDefault="00BF6A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50"/>
    <w:multiLevelType w:val="hybridMultilevel"/>
    <w:tmpl w:val="DF1CE114"/>
    <w:lvl w:ilvl="0" w:tplc="5D285A9E">
      <w:start w:val="24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D167B35"/>
    <w:multiLevelType w:val="multilevel"/>
    <w:tmpl w:val="DD9C24E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nsid w:val="4558107C"/>
    <w:multiLevelType w:val="hybridMultilevel"/>
    <w:tmpl w:val="54D621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443620"/>
    <w:multiLevelType w:val="hybridMultilevel"/>
    <w:tmpl w:val="56EE6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63DD"/>
    <w:multiLevelType w:val="hybridMultilevel"/>
    <w:tmpl w:val="DF0A0B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8A03AF"/>
    <w:multiLevelType w:val="hybridMultilevel"/>
    <w:tmpl w:val="DBFCF0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B"/>
    <w:rsid w:val="00841DFB"/>
    <w:rsid w:val="00A00ADE"/>
    <w:rsid w:val="00BF6A01"/>
    <w:rsid w:val="00D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1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41DFB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41DFB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41DFB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41D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semiHidden/>
    <w:rsid w:val="00841DF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841DF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41DFB"/>
    <w:rPr>
      <w:rFonts w:ascii="Arial" w:eastAsia="Times New Roman" w:hAnsi="Arial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1DFB"/>
    <w:pPr>
      <w:ind w:left="708"/>
    </w:pPr>
  </w:style>
  <w:style w:type="paragraph" w:customStyle="1" w:styleId="Default">
    <w:name w:val="Default"/>
    <w:rsid w:val="00841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BF6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6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F6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6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1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41DFB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41DFB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41DFB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41D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semiHidden/>
    <w:rsid w:val="00841DF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841DF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41DFB"/>
    <w:rPr>
      <w:rFonts w:ascii="Arial" w:eastAsia="Times New Roman" w:hAnsi="Arial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1DFB"/>
    <w:pPr>
      <w:ind w:left="708"/>
    </w:pPr>
  </w:style>
  <w:style w:type="paragraph" w:customStyle="1" w:styleId="Default">
    <w:name w:val="Default"/>
    <w:rsid w:val="00841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BF6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6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F6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6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2017-10-12T13:39:00Z</dcterms:created>
  <dcterms:modified xsi:type="dcterms:W3CDTF">2017-10-12T13:39:00Z</dcterms:modified>
</cp:coreProperties>
</file>