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bookmarkStart w:id="0" w:name="_GoBack"/>
      <w:bookmarkEnd w:id="0"/>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FD3CB9" w:rsidP="008F1F7D">
      <w:pPr>
        <w:pStyle w:val="Szvegtrzs3"/>
        <w:keepNext/>
        <w:spacing w:line="276" w:lineRule="auto"/>
        <w:jc w:val="center"/>
        <w:rPr>
          <w:rFonts w:asciiTheme="minorHAnsi" w:hAnsiTheme="minorHAnsi" w:cstheme="minorHAnsi"/>
          <w:b/>
          <w:w w:val="101"/>
          <w:sz w:val="28"/>
          <w:szCs w:val="28"/>
        </w:rPr>
      </w:pPr>
      <w:r>
        <w:rPr>
          <w:rFonts w:asciiTheme="minorHAnsi" w:hAnsiTheme="minorHAnsi" w:cstheme="minorHAnsi"/>
          <w:b/>
          <w:w w:val="101"/>
          <w:sz w:val="28"/>
          <w:szCs w:val="28"/>
        </w:rPr>
        <w:t>Hungária villamos járműtelep, műszaki épület attika fal és tető szigetelés javítása</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7E3661">
        <w:rPr>
          <w:rFonts w:asciiTheme="minorHAnsi" w:hAnsiTheme="minorHAnsi" w:cstheme="minorHAnsi"/>
          <w:b/>
          <w:szCs w:val="24"/>
        </w:rPr>
        <w:t>235</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645D5A">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9225DF">
        <w:rPr>
          <w:rFonts w:asciiTheme="minorHAnsi" w:hAnsiTheme="minorHAnsi" w:cstheme="minorHAnsi"/>
          <w:b/>
          <w:szCs w:val="24"/>
        </w:rPr>
        <w:t>6</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7E3661">
        <w:rPr>
          <w:rFonts w:asciiTheme="minorHAnsi" w:hAnsiTheme="minorHAnsi" w:cstheme="minorHAnsi"/>
          <w:b/>
          <w:szCs w:val="24"/>
        </w:rPr>
        <w:t>235</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25DF">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FD3CB9" w:rsidRDefault="00B6447D" w:rsidP="00C84347">
      <w:pPr>
        <w:ind w:left="360"/>
        <w:jc w:val="both"/>
        <w:rPr>
          <w:rFonts w:asciiTheme="minorHAnsi" w:hAnsiTheme="minorHAnsi" w:cstheme="minorHAnsi"/>
          <w:szCs w:val="24"/>
        </w:rPr>
      </w:pPr>
      <w:r w:rsidRPr="00FD3CB9">
        <w:rPr>
          <w:rFonts w:asciiTheme="minorHAnsi" w:hAnsiTheme="minorHAnsi" w:cstheme="minorHAnsi"/>
          <w:w w:val="101"/>
          <w:szCs w:val="24"/>
        </w:rPr>
        <w:t>A beszerzése tárgya</w:t>
      </w:r>
      <w:r w:rsidR="00331B03" w:rsidRPr="00FD3CB9">
        <w:rPr>
          <w:rFonts w:asciiTheme="minorHAnsi" w:hAnsiTheme="minorHAnsi" w:cstheme="minorHAnsi"/>
          <w:w w:val="101"/>
          <w:szCs w:val="24"/>
        </w:rPr>
        <w:t>:</w:t>
      </w:r>
      <w:r w:rsidR="009209C3" w:rsidRPr="00FD3CB9">
        <w:rPr>
          <w:rFonts w:asciiTheme="minorHAnsi" w:hAnsiTheme="minorHAnsi" w:cstheme="minorHAnsi"/>
          <w:w w:val="101"/>
          <w:szCs w:val="24"/>
        </w:rPr>
        <w:t xml:space="preserve"> </w:t>
      </w:r>
      <w:r w:rsidR="00FD3CB9" w:rsidRPr="00FD3CB9">
        <w:rPr>
          <w:rFonts w:asciiTheme="minorHAnsi" w:hAnsiTheme="minorHAnsi" w:cstheme="minorHAnsi"/>
          <w:b/>
          <w:w w:val="101"/>
          <w:szCs w:val="24"/>
        </w:rPr>
        <w:t>Hungária villamos járműtelep, műszaki épület attika fal és tető szigetelés javítása</w:t>
      </w:r>
      <w:r w:rsidR="009225DF" w:rsidRPr="00FD3CB9">
        <w:rPr>
          <w:rFonts w:asciiTheme="minorHAnsi" w:hAnsiTheme="minorHAnsi" w:cstheme="minorHAnsi"/>
          <w:w w:val="101"/>
          <w:szCs w:val="24"/>
        </w:rPr>
        <w:t xml:space="preserve"> </w:t>
      </w:r>
      <w:r w:rsidRPr="00FD3CB9">
        <w:rPr>
          <w:rFonts w:asciiTheme="minorHAnsi" w:hAnsiTheme="minorHAnsi" w:cstheme="minorHAnsi"/>
          <w:w w:val="101"/>
          <w:szCs w:val="24"/>
        </w:rPr>
        <w:t xml:space="preserve">az 1-es számú </w:t>
      </w:r>
      <w:r w:rsidR="002E3793" w:rsidRPr="00FD3CB9">
        <w:rPr>
          <w:rFonts w:asciiTheme="minorHAnsi" w:hAnsiTheme="minorHAnsi" w:cstheme="minorHAnsi"/>
          <w:w w:val="101"/>
          <w:szCs w:val="24"/>
        </w:rPr>
        <w:t>függelék</w:t>
      </w:r>
      <w:r w:rsidR="00E5399A" w:rsidRPr="00FD3CB9">
        <w:rPr>
          <w:rFonts w:asciiTheme="minorHAnsi" w:hAnsiTheme="minorHAnsi" w:cstheme="minorHAnsi"/>
          <w:w w:val="101"/>
          <w:szCs w:val="24"/>
        </w:rPr>
        <w:t xml:space="preserve"> szerint</w:t>
      </w:r>
      <w:r w:rsidRPr="00FD3CB9">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Az 1-es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z árazatlan költségvetés</w:t>
      </w:r>
      <w:r w:rsidRPr="007E49F1">
        <w:rPr>
          <w:rFonts w:asciiTheme="minorHAnsi" w:hAnsiTheme="minorHAnsi" w:cstheme="minorHAnsi"/>
          <w:w w:val="101"/>
          <w:szCs w:val="24"/>
        </w:rPr>
        <w:t xml:space="preserv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41233F">
        <w:rPr>
          <w:rFonts w:asciiTheme="minorHAnsi" w:hAnsiTheme="minorHAnsi" w:cstheme="minorHAnsi"/>
          <w:szCs w:val="24"/>
        </w:rPr>
        <w:t>3</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41233F">
        <w:rPr>
          <w:rFonts w:asciiTheme="minorHAnsi" w:hAnsiTheme="minorHAnsi" w:cstheme="minorHAnsi"/>
          <w:szCs w:val="24"/>
        </w:rPr>
        <w:t>8</w:t>
      </w:r>
      <w:r w:rsidR="009F28E9">
        <w:rPr>
          <w:rFonts w:asciiTheme="minorHAnsi" w:hAnsiTheme="minorHAnsi" w:cstheme="minorHAnsi"/>
          <w:szCs w:val="24"/>
        </w:rPr>
        <w:t xml:space="preserve">0 </w:t>
      </w:r>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FD3CB9">
        <w:rPr>
          <w:rFonts w:asciiTheme="minorHAnsi" w:hAnsiTheme="minorHAnsi" w:cstheme="minorHAnsi"/>
          <w:szCs w:val="24"/>
        </w:rPr>
        <w:t>Hungária kocsiszín</w:t>
      </w:r>
      <w:r w:rsidR="00097508">
        <w:rPr>
          <w:rFonts w:asciiTheme="minorHAnsi" w:hAnsiTheme="minorHAnsi" w:cstheme="minorHAnsi"/>
          <w:szCs w:val="24"/>
        </w:rPr>
        <w:t>. 1</w:t>
      </w:r>
      <w:r w:rsidR="00FD3CB9">
        <w:rPr>
          <w:rFonts w:asciiTheme="minorHAnsi" w:hAnsiTheme="minorHAnsi" w:cstheme="minorHAnsi"/>
          <w:szCs w:val="24"/>
        </w:rPr>
        <w:t>087</w:t>
      </w:r>
      <w:r w:rsidR="00097508">
        <w:rPr>
          <w:rFonts w:asciiTheme="minorHAnsi" w:hAnsiTheme="minorHAnsi" w:cstheme="minorHAnsi"/>
          <w:szCs w:val="24"/>
        </w:rPr>
        <w:t xml:space="preserve"> </w:t>
      </w:r>
      <w:r w:rsidR="00295973">
        <w:rPr>
          <w:rFonts w:asciiTheme="minorHAnsi" w:hAnsiTheme="minorHAnsi" w:cstheme="minorHAnsi"/>
          <w:szCs w:val="24"/>
        </w:rPr>
        <w:t xml:space="preserve">Budapest </w:t>
      </w:r>
      <w:r w:rsidR="00FD3CB9">
        <w:rPr>
          <w:rFonts w:asciiTheme="minorHAnsi" w:hAnsiTheme="minorHAnsi" w:cstheme="minorHAnsi"/>
          <w:szCs w:val="24"/>
        </w:rPr>
        <w:t>VII</w:t>
      </w:r>
      <w:r w:rsidR="00520332">
        <w:rPr>
          <w:rFonts w:asciiTheme="minorHAnsi" w:hAnsiTheme="minorHAnsi" w:cstheme="minorHAnsi"/>
          <w:szCs w:val="24"/>
        </w:rPr>
        <w:t>I</w:t>
      </w:r>
      <w:r w:rsidR="00295973">
        <w:rPr>
          <w:rFonts w:asciiTheme="minorHAnsi" w:hAnsiTheme="minorHAnsi" w:cstheme="minorHAnsi"/>
          <w:szCs w:val="24"/>
        </w:rPr>
        <w:t xml:space="preserve">., </w:t>
      </w:r>
      <w:r w:rsidR="00FD3CB9">
        <w:rPr>
          <w:rFonts w:asciiTheme="minorHAnsi" w:hAnsiTheme="minorHAnsi" w:cstheme="minorHAnsi"/>
          <w:szCs w:val="24"/>
        </w:rPr>
        <w:t>Törökbecse u. 1.</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520332">
        <w:rPr>
          <w:rFonts w:asciiTheme="minorHAnsi" w:hAnsiTheme="minorHAnsi" w:cstheme="minorHAnsi"/>
          <w:szCs w:val="24"/>
        </w:rPr>
        <w:t>15</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247A2C"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247A2C">
        <w:rPr>
          <w:rFonts w:asciiTheme="minorHAnsi" w:hAnsiTheme="minorHAnsi" w:cstheme="minorHAnsi"/>
          <w:szCs w:val="24"/>
        </w:rPr>
        <w:t xml:space="preserve"> összesen minimum </w:t>
      </w:r>
      <w:r w:rsidR="00520332">
        <w:rPr>
          <w:rFonts w:asciiTheme="minorHAnsi" w:hAnsiTheme="minorHAnsi" w:cstheme="minorHAnsi"/>
          <w:szCs w:val="24"/>
        </w:rPr>
        <w:t>1</w:t>
      </w:r>
      <w:r w:rsidR="00F0170D">
        <w:rPr>
          <w:rFonts w:asciiTheme="minorHAnsi" w:hAnsiTheme="minorHAnsi" w:cstheme="minorHAnsi"/>
          <w:szCs w:val="24"/>
        </w:rPr>
        <w:t>0</w:t>
      </w:r>
      <w:r w:rsidR="00247A2C">
        <w:rPr>
          <w:rFonts w:asciiTheme="minorHAnsi" w:hAnsiTheme="minorHAnsi" w:cstheme="minorHAnsi"/>
          <w:szCs w:val="24"/>
        </w:rPr>
        <w:t>.000.000,</w:t>
      </w:r>
      <w:proofErr w:type="spellStart"/>
      <w:r w:rsidR="00247A2C">
        <w:rPr>
          <w:rFonts w:asciiTheme="minorHAnsi" w:hAnsiTheme="minorHAnsi" w:cstheme="minorHAnsi"/>
          <w:szCs w:val="24"/>
        </w:rPr>
        <w:t>-Ft</w:t>
      </w:r>
      <w:proofErr w:type="spellEnd"/>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r w:rsidR="00FD3CB9">
        <w:rPr>
          <w:rFonts w:asciiTheme="minorHAnsi" w:hAnsiTheme="minorHAnsi" w:cstheme="minorHAnsi"/>
          <w:szCs w:val="24"/>
        </w:rPr>
        <w:t>épületszerkezet</w:t>
      </w:r>
      <w:r w:rsidR="00520332">
        <w:rPr>
          <w:rFonts w:asciiTheme="minorHAnsi" w:hAnsiTheme="minorHAnsi" w:cstheme="minorHAnsi"/>
          <w:szCs w:val="24"/>
        </w:rPr>
        <w:t xml:space="preserve"> építés és/vagy javítására </w:t>
      </w:r>
      <w:r w:rsidR="008D20E1" w:rsidRPr="00E26F0E">
        <w:rPr>
          <w:rFonts w:asciiTheme="minorHAnsi" w:hAnsiTheme="minorHAnsi" w:cstheme="minorHAnsi"/>
          <w:szCs w:val="24"/>
        </w:rPr>
        <w:t>vonatkozó referenciával</w:t>
      </w:r>
      <w:r w:rsidR="00247A2C">
        <w:rPr>
          <w:rFonts w:asciiTheme="minorHAnsi" w:hAnsiTheme="minorHAnsi" w:cstheme="minorHAnsi"/>
          <w:szCs w:val="24"/>
        </w:rPr>
        <w:t xml:space="preserve">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4BAA" w:rsidP="00D74BAA">
      <w:pPr>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1 fő felelős műszaki vezető</w:t>
      </w:r>
    </w:p>
    <w:p w:rsidR="00FD3CB9" w:rsidRDefault="00FD3CB9"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1 fő statikus tervező</w:t>
      </w:r>
    </w:p>
    <w:p w:rsidR="00F0170D"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w:t>
      </w:r>
      <w:r w:rsidR="00F0170D">
        <w:rPr>
          <w:rFonts w:asciiTheme="minorHAnsi" w:hAnsiTheme="minorHAnsi" w:cstheme="minorHAnsi"/>
          <w:szCs w:val="24"/>
        </w:rPr>
        <w:t xml:space="preserve"> fő </w:t>
      </w:r>
      <w:r>
        <w:rPr>
          <w:rFonts w:asciiTheme="minorHAnsi" w:hAnsiTheme="minorHAnsi" w:cstheme="minorHAnsi"/>
          <w:szCs w:val="24"/>
        </w:rPr>
        <w:t>bádogos</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 fő hőszigetelő</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 fő tetőszigetelő vagy vízszigetelő</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2 fő lakatos</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2 fő kőműves</w:t>
      </w:r>
    </w:p>
    <w:p w:rsidR="00A066AE" w:rsidRPr="00D74BAA"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1 fő festő</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F0170D">
        <w:rPr>
          <w:rFonts w:ascii="Calibri" w:hAnsi="Calibri" w:cs="Calibri"/>
        </w:rPr>
        <w:t>ek</w:t>
      </w:r>
      <w:r>
        <w:rPr>
          <w:rFonts w:ascii="Calibri" w:hAnsi="Calibri" w:cs="Calibri"/>
        </w:rPr>
        <w:t xml:space="preserve"> szakmai felkészültségének igazolásához csatolni szükséges a szakmai önéletrajz</w:t>
      </w:r>
      <w:r w:rsidR="00D42FB7">
        <w:rPr>
          <w:rFonts w:ascii="Calibri" w:hAnsi="Calibri" w:cs="Calibri"/>
        </w:rPr>
        <w:t>át</w:t>
      </w:r>
      <w:r>
        <w:rPr>
          <w:rFonts w:ascii="Calibri" w:hAnsi="Calibri" w:cs="Calibri"/>
        </w:rPr>
        <w:t>, illetve végzettséget igazoló dokumentum másolatát</w:t>
      </w:r>
      <w:r w:rsidR="00F0170D">
        <w:rPr>
          <w:rFonts w:ascii="Calibri" w:hAnsi="Calibri" w:cs="Calibri"/>
        </w:rPr>
        <w:t xml:space="preserve">, kamarai névjegyzékben szereplés </w:t>
      </w:r>
      <w:r w:rsidR="001F4587">
        <w:rPr>
          <w:rFonts w:ascii="Calibri" w:hAnsi="Calibri" w:cs="Calibri"/>
        </w:rPr>
        <w:t xml:space="preserve">tényét, </w:t>
      </w:r>
      <w:r w:rsidR="00F0170D">
        <w:rPr>
          <w:rFonts w:ascii="Calibri" w:hAnsi="Calibri" w:cs="Calibri"/>
        </w:rPr>
        <w:t>a nyilvántartási szám megadásával</w:t>
      </w:r>
      <w:r>
        <w:rPr>
          <w:rFonts w:ascii="Calibri" w:hAnsi="Calibri" w:cs="Calibri"/>
        </w:rPr>
        <w: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alvállalkozó(k)ról</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A066AE" w:rsidRPr="007E49F1" w:rsidTr="00D224DC">
        <w:trPr>
          <w:jc w:val="center"/>
        </w:trPr>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Munkavédelmi nyilatkozat</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p>
        </w:tc>
      </w:tr>
      <w:tr w:rsidR="00782B1A" w:rsidRPr="007E49F1" w:rsidTr="00D224DC">
        <w:trPr>
          <w:jc w:val="center"/>
        </w:trPr>
        <w:tc>
          <w:tcPr>
            <w:tcW w:w="0" w:type="auto"/>
            <w:shd w:val="clear" w:color="auto" w:fill="auto"/>
            <w:vAlign w:val="center"/>
          </w:tcPr>
          <w:p w:rsidR="00782B1A" w:rsidRDefault="00782B1A"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782B1A" w:rsidRDefault="00782B1A"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782B1A" w:rsidRDefault="00782B1A"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1F4587">
        <w:rPr>
          <w:rFonts w:asciiTheme="minorHAnsi" w:hAnsiTheme="minorHAnsi" w:cstheme="minorHAnsi"/>
          <w:szCs w:val="24"/>
        </w:rPr>
        <w:t>6</w:t>
      </w:r>
      <w:r w:rsidRPr="007E49F1">
        <w:rPr>
          <w:rFonts w:asciiTheme="minorHAnsi" w:hAnsiTheme="minorHAnsi" w:cstheme="minorHAnsi"/>
          <w:szCs w:val="24"/>
        </w:rPr>
        <w:t xml:space="preserve">. </w:t>
      </w:r>
      <w:r w:rsidR="00317B6A">
        <w:rPr>
          <w:rFonts w:asciiTheme="minorHAnsi" w:hAnsiTheme="minorHAnsi" w:cstheme="minorHAnsi"/>
          <w:szCs w:val="24"/>
        </w:rPr>
        <w:t>augusztus 15</w:t>
      </w:r>
      <w:r w:rsidRPr="007E49F1">
        <w:rPr>
          <w:rFonts w:asciiTheme="minorHAnsi" w:hAnsiTheme="minorHAnsi" w:cstheme="minorHAnsi"/>
          <w:szCs w:val="24"/>
        </w:rPr>
        <w:t>. nap 1</w:t>
      </w:r>
      <w:r w:rsidR="00247A2C">
        <w:rPr>
          <w:rFonts w:asciiTheme="minorHAnsi" w:hAnsiTheme="minorHAnsi" w:cstheme="minorHAnsi"/>
          <w:szCs w:val="24"/>
        </w:rPr>
        <w:t>1</w:t>
      </w:r>
      <w:r w:rsidRPr="007E49F1">
        <w:rPr>
          <w:rFonts w:asciiTheme="minorHAnsi" w:hAnsiTheme="minorHAnsi" w:cstheme="minorHAnsi"/>
          <w:szCs w:val="24"/>
        </w:rPr>
        <w:t>:00</w:t>
      </w:r>
      <w:r w:rsidR="00247A2C">
        <w:rPr>
          <w:rFonts w:asciiTheme="minorHAnsi" w:hAnsiTheme="minorHAnsi" w:cstheme="minorHAnsi"/>
          <w:szCs w:val="24"/>
        </w:rPr>
        <w:t xml:space="preserve"> óráig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F4746">
        <w:rPr>
          <w:rFonts w:asciiTheme="minorHAnsi" w:hAnsiTheme="minorHAnsi" w:cstheme="minorHAnsi"/>
          <w:szCs w:val="24"/>
        </w:rPr>
        <w:t>6</w:t>
      </w:r>
      <w:r w:rsidRPr="007E49F1">
        <w:rPr>
          <w:rFonts w:asciiTheme="minorHAnsi" w:hAnsiTheme="minorHAnsi" w:cstheme="minorHAnsi"/>
          <w:szCs w:val="24"/>
        </w:rPr>
        <w:t xml:space="preserve">. </w:t>
      </w:r>
      <w:r w:rsidR="00317B6A">
        <w:rPr>
          <w:rFonts w:asciiTheme="minorHAnsi" w:hAnsiTheme="minorHAnsi" w:cstheme="minorHAnsi"/>
          <w:szCs w:val="24"/>
        </w:rPr>
        <w:t>augusztus 15</w:t>
      </w:r>
      <w:r w:rsidRPr="007E49F1">
        <w:rPr>
          <w:rFonts w:asciiTheme="minorHAnsi" w:hAnsiTheme="minorHAnsi" w:cstheme="minorHAnsi"/>
          <w:szCs w:val="24"/>
        </w:rPr>
        <w:t>-</w:t>
      </w:r>
      <w:r w:rsidR="00804A3D">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F4746">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317B6A">
        <w:rPr>
          <w:rFonts w:asciiTheme="minorHAnsi" w:hAnsiTheme="minorHAnsi" w:cstheme="minorHAnsi"/>
          <w:szCs w:val="24"/>
          <w:lang w:eastAsia="hu-HU"/>
        </w:rPr>
        <w:t>augusztus 15</w:t>
      </w:r>
      <w:r w:rsidR="00046320">
        <w:rPr>
          <w:rFonts w:asciiTheme="minorHAnsi" w:hAnsiTheme="minorHAnsi" w:cstheme="minorHAnsi"/>
          <w:szCs w:val="24"/>
          <w:lang w:eastAsia="hu-HU"/>
        </w:rPr>
        <w:t>-</w:t>
      </w:r>
      <w:r w:rsidR="00E26F0E">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247A2C">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317B6A">
        <w:rPr>
          <w:rFonts w:asciiTheme="minorHAnsi" w:hAnsiTheme="minorHAnsi" w:cstheme="minorHAnsi"/>
          <w:b/>
          <w:szCs w:val="24"/>
        </w:rPr>
        <w:t>augusztus 1</w:t>
      </w:r>
      <w:r w:rsidR="001F4587">
        <w:rPr>
          <w:rFonts w:asciiTheme="minorHAnsi" w:hAnsiTheme="minorHAnsi" w:cstheme="minorHAnsi"/>
          <w:b/>
          <w:szCs w:val="24"/>
        </w:rPr>
        <w:t>8</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317B6A">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317B6A">
        <w:rPr>
          <w:rFonts w:asciiTheme="minorHAnsi" w:hAnsiTheme="minorHAnsi" w:cstheme="minorHAnsi"/>
          <w:b/>
          <w:szCs w:val="24"/>
        </w:rPr>
        <w:t>augusztus 1</w:t>
      </w:r>
      <w:r w:rsidR="001F4587">
        <w:rPr>
          <w:rFonts w:asciiTheme="minorHAnsi" w:hAnsiTheme="minorHAnsi" w:cstheme="minorHAnsi"/>
          <w:b/>
          <w:szCs w:val="24"/>
        </w:rPr>
        <w:t>8</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317B6A">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EA3F96">
        <w:rPr>
          <w:rFonts w:asciiTheme="minorHAnsi" w:hAnsiTheme="minorHAnsi" w:cstheme="minorHAnsi"/>
          <w:b/>
          <w:szCs w:val="24"/>
          <w:lang w:eastAsia="hu-HU"/>
        </w:rPr>
        <w:t xml:space="preserve">alacsonyabb összegű </w:t>
      </w:r>
      <w:r w:rsidR="00594DA3">
        <w:rPr>
          <w:rFonts w:asciiTheme="minorHAnsi" w:hAnsiTheme="minorHAnsi" w:cstheme="minorHAnsi"/>
          <w:b/>
          <w:szCs w:val="24"/>
          <w:lang w:eastAsia="hu-HU"/>
        </w:rPr>
        <w:t>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EA3F96">
        <w:rPr>
          <w:rFonts w:asciiTheme="minorHAnsi" w:hAnsiTheme="minorHAnsi" w:cstheme="minorHAnsi"/>
          <w:szCs w:val="24"/>
          <w:lang w:eastAsia="hu-HU"/>
        </w:rPr>
        <w:t>.</w:t>
      </w:r>
      <w:r w:rsidR="006B53BB">
        <w:rPr>
          <w:rFonts w:asciiTheme="minorHAnsi" w:hAnsiTheme="minorHAnsi" w:cstheme="minorHAnsi"/>
          <w:szCs w:val="24"/>
          <w:lang w:eastAsia="hu-HU"/>
        </w:rPr>
        <w:t xml:space="preserve">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247A2C" w:rsidRDefault="00247A2C" w:rsidP="00247A2C">
      <w:pPr>
        <w:ind w:left="425"/>
        <w:jc w:val="both"/>
        <w:rPr>
          <w:rFonts w:asciiTheme="minorHAnsi" w:hAnsiTheme="minorHAnsi" w:cstheme="minorHAnsi"/>
        </w:rPr>
      </w:pPr>
      <w:r>
        <w:rPr>
          <w:rFonts w:asciiTheme="minorHAnsi" w:hAnsiTheme="minorHAnsi" w:cstheme="minorHAnsi"/>
        </w:rPr>
        <w:t>Ajánlatkérő lehetőséget biztosít helyszíni bejárásra, amelyen a részvétel az ajánlat beadásának a feltétele.</w:t>
      </w:r>
    </w:p>
    <w:p w:rsidR="00247A2C" w:rsidRDefault="00192409" w:rsidP="00192409">
      <w:pPr>
        <w:ind w:left="425"/>
        <w:jc w:val="both"/>
        <w:rPr>
          <w:rFonts w:asciiTheme="minorHAnsi" w:hAnsiTheme="minorHAnsi" w:cstheme="minorHAnsi"/>
        </w:rPr>
      </w:pPr>
      <w:r>
        <w:rPr>
          <w:rFonts w:asciiTheme="minorHAnsi" w:hAnsiTheme="minorHAnsi" w:cstheme="minorHAnsi"/>
        </w:rPr>
        <w:t>A helyszíni bejárás időpontja: 201</w:t>
      </w:r>
      <w:r w:rsidR="00CF4746">
        <w:rPr>
          <w:rFonts w:asciiTheme="minorHAnsi" w:hAnsiTheme="minorHAnsi" w:cstheme="minorHAnsi"/>
        </w:rPr>
        <w:t>6</w:t>
      </w:r>
      <w:r>
        <w:rPr>
          <w:rFonts w:asciiTheme="minorHAnsi" w:hAnsiTheme="minorHAnsi" w:cstheme="minorHAnsi"/>
        </w:rPr>
        <w:t xml:space="preserve">. </w:t>
      </w:r>
      <w:r w:rsidR="00317B6A">
        <w:rPr>
          <w:rFonts w:asciiTheme="minorHAnsi" w:hAnsiTheme="minorHAnsi" w:cstheme="minorHAnsi"/>
        </w:rPr>
        <w:t>augusztus 9</w:t>
      </w:r>
      <w:r>
        <w:rPr>
          <w:rFonts w:asciiTheme="minorHAnsi" w:hAnsiTheme="minorHAnsi" w:cstheme="minorHAnsi"/>
        </w:rPr>
        <w:t>. 13:00</w:t>
      </w:r>
    </w:p>
    <w:p w:rsidR="00192409" w:rsidRDefault="00192409" w:rsidP="00192409">
      <w:pPr>
        <w:ind w:left="425"/>
        <w:jc w:val="both"/>
        <w:rPr>
          <w:rFonts w:asciiTheme="minorHAnsi" w:hAnsiTheme="minorHAnsi" w:cstheme="minorHAnsi"/>
        </w:rPr>
      </w:pPr>
      <w:r>
        <w:rPr>
          <w:rFonts w:asciiTheme="minorHAnsi" w:hAnsiTheme="minorHAnsi" w:cstheme="minorHAnsi"/>
        </w:rPr>
        <w:t xml:space="preserve">Találkozás helyszíne: </w:t>
      </w:r>
      <w:r w:rsidR="00782B1A">
        <w:rPr>
          <w:rFonts w:asciiTheme="minorHAnsi" w:hAnsiTheme="minorHAnsi" w:cstheme="minorHAnsi"/>
          <w:szCs w:val="24"/>
        </w:rPr>
        <w:t xml:space="preserve">BKV Zrt. </w:t>
      </w:r>
      <w:r w:rsidR="00FD3CB9">
        <w:rPr>
          <w:rFonts w:asciiTheme="minorHAnsi" w:hAnsiTheme="minorHAnsi" w:cstheme="minorHAnsi"/>
          <w:szCs w:val="24"/>
        </w:rPr>
        <w:t>Hungária</w:t>
      </w:r>
      <w:r w:rsidR="00782B1A">
        <w:rPr>
          <w:rFonts w:asciiTheme="minorHAnsi" w:hAnsiTheme="minorHAnsi" w:cstheme="minorHAnsi"/>
          <w:szCs w:val="24"/>
        </w:rPr>
        <w:t xml:space="preserve"> kocsiszín. </w:t>
      </w:r>
      <w:r w:rsidR="00FD3CB9">
        <w:rPr>
          <w:rFonts w:asciiTheme="minorHAnsi" w:hAnsiTheme="minorHAnsi" w:cstheme="minorHAnsi"/>
          <w:szCs w:val="24"/>
        </w:rPr>
        <w:t>1087 Budapest VIII., Törökbecse u. 1</w:t>
      </w:r>
      <w:r w:rsidR="00A066AE">
        <w:rPr>
          <w:rFonts w:asciiTheme="minorHAnsi" w:hAnsiTheme="minorHAnsi" w:cstheme="minorHAnsi"/>
          <w:szCs w:val="24"/>
        </w:rPr>
        <w:t>.</w:t>
      </w:r>
      <w:r w:rsidR="00782B1A">
        <w:rPr>
          <w:rFonts w:asciiTheme="minorHAnsi" w:hAnsiTheme="minorHAnsi" w:cstheme="minorHAnsi"/>
          <w:szCs w:val="24"/>
        </w:rPr>
        <w:t xml:space="preserve"> Telephelyi porta épületnél.</w:t>
      </w:r>
    </w:p>
    <w:p w:rsidR="00192409" w:rsidRDefault="00192409" w:rsidP="00192409">
      <w:pPr>
        <w:ind w:left="425"/>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w:t>
      </w:r>
      <w:r w:rsidR="00192409">
        <w:rPr>
          <w:rFonts w:asciiTheme="minorHAnsi" w:hAnsiTheme="minorHAnsi" w:cstheme="minorHAnsi"/>
          <w:szCs w:val="24"/>
        </w:rPr>
        <w:t>2-6438-as faxszámra megküldeni.</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3F7594" w:rsidRDefault="003F7594" w:rsidP="00C84347">
      <w:pPr>
        <w:ind w:left="426"/>
        <w:jc w:val="both"/>
        <w:rPr>
          <w:rFonts w:asciiTheme="minorHAnsi" w:hAnsiTheme="minorHAnsi" w:cstheme="minorHAnsi"/>
          <w:szCs w:val="24"/>
          <w:lang w:eastAsia="hu-HU"/>
        </w:rPr>
      </w:pPr>
    </w:p>
    <w:sectPr w:rsidR="003F7594"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76" w:rsidRDefault="004B4F76">
      <w:r>
        <w:separator/>
      </w:r>
    </w:p>
  </w:endnote>
  <w:endnote w:type="continuationSeparator" w:id="0">
    <w:p w:rsidR="004B4F76" w:rsidRDefault="004B4F76">
      <w:r>
        <w:continuationSeparator/>
      </w:r>
    </w:p>
  </w:endnote>
  <w:endnote w:type="continuationNotice" w:id="1">
    <w:p w:rsidR="004B4F76" w:rsidRDefault="004B4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82AA4">
      <w:rPr>
        <w:rStyle w:val="Oldalszm"/>
        <w:noProof/>
      </w:rPr>
      <w:t>6</w:t>
    </w:r>
    <w:r>
      <w:rPr>
        <w:rStyle w:val="Oldalszm"/>
      </w:rPr>
      <w:fldChar w:fldCharType="end"/>
    </w:r>
  </w:p>
  <w:p w:rsidR="00247A2C" w:rsidRDefault="00247A2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A4" w:rsidRDefault="00382A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76" w:rsidRDefault="004B4F76">
      <w:r>
        <w:separator/>
      </w:r>
    </w:p>
  </w:footnote>
  <w:footnote w:type="continuationSeparator" w:id="0">
    <w:p w:rsidR="004B4F76" w:rsidRDefault="004B4F76">
      <w:r>
        <w:continuationSeparator/>
      </w:r>
    </w:p>
  </w:footnote>
  <w:footnote w:type="continuationNotice" w:id="1">
    <w:p w:rsidR="004B4F76" w:rsidRDefault="004B4F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A4" w:rsidRDefault="00382AA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6AE179F" wp14:editId="6FCD1F3A">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2B33E690" wp14:editId="0120EAC6">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sidR="007E3661">
      <w:rPr>
        <w:rFonts w:asciiTheme="minorHAnsi" w:hAnsiTheme="minorHAnsi" w:cstheme="minorHAnsi"/>
        <w:szCs w:val="24"/>
      </w:rPr>
      <w:t>235</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A4" w:rsidRDefault="00382AA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7">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7">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9"/>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
  </w:num>
  <w:num w:numId="11">
    <w:abstractNumId w:val="10"/>
  </w:num>
  <w:num w:numId="12">
    <w:abstractNumId w:val="22"/>
  </w:num>
  <w:num w:numId="13">
    <w:abstractNumId w:val="25"/>
  </w:num>
  <w:num w:numId="14">
    <w:abstractNumId w:val="7"/>
  </w:num>
  <w:num w:numId="15">
    <w:abstractNumId w:val="27"/>
  </w:num>
  <w:num w:numId="16">
    <w:abstractNumId w:val="15"/>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8"/>
  </w:num>
  <w:num w:numId="35">
    <w:abstractNumId w:val="0"/>
  </w:num>
  <w:num w:numId="36">
    <w:abstractNumId w:val="9"/>
  </w:num>
  <w:num w:numId="37">
    <w:abstractNumId w:val="16"/>
  </w:num>
  <w:num w:numId="38">
    <w:abstractNumId w:val="4"/>
  </w:num>
  <w:num w:numId="39">
    <w:abstractNumId w:val="17"/>
  </w:num>
  <w:num w:numId="40">
    <w:abstractNumId w:val="26"/>
  </w:num>
  <w:num w:numId="41">
    <w:abstractNumId w:val="6"/>
  </w:num>
  <w:num w:numId="42">
    <w:abstractNumId w:val="21"/>
  </w:num>
  <w:num w:numId="43">
    <w:abstractNumId w:val="11"/>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0E97"/>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97508"/>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92409"/>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4587"/>
    <w:rsid w:val="001F50EE"/>
    <w:rsid w:val="001F7AE0"/>
    <w:rsid w:val="002014DF"/>
    <w:rsid w:val="00204EF4"/>
    <w:rsid w:val="00205552"/>
    <w:rsid w:val="00221AF0"/>
    <w:rsid w:val="00230F12"/>
    <w:rsid w:val="002370C6"/>
    <w:rsid w:val="00241B35"/>
    <w:rsid w:val="00242150"/>
    <w:rsid w:val="00243C24"/>
    <w:rsid w:val="00246759"/>
    <w:rsid w:val="00247A2C"/>
    <w:rsid w:val="00250C90"/>
    <w:rsid w:val="00252E4E"/>
    <w:rsid w:val="002564D2"/>
    <w:rsid w:val="00261AA5"/>
    <w:rsid w:val="00261F67"/>
    <w:rsid w:val="00263CF7"/>
    <w:rsid w:val="00265EB4"/>
    <w:rsid w:val="002678C5"/>
    <w:rsid w:val="00267E28"/>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17B6A"/>
    <w:rsid w:val="0032498C"/>
    <w:rsid w:val="0032592C"/>
    <w:rsid w:val="0032595A"/>
    <w:rsid w:val="00331B03"/>
    <w:rsid w:val="003336B0"/>
    <w:rsid w:val="003379D6"/>
    <w:rsid w:val="0034278E"/>
    <w:rsid w:val="00343DAE"/>
    <w:rsid w:val="00346958"/>
    <w:rsid w:val="00346E4B"/>
    <w:rsid w:val="003538D9"/>
    <w:rsid w:val="00356D7A"/>
    <w:rsid w:val="00360D2B"/>
    <w:rsid w:val="003628E1"/>
    <w:rsid w:val="0036380F"/>
    <w:rsid w:val="00363E34"/>
    <w:rsid w:val="00365888"/>
    <w:rsid w:val="003722E2"/>
    <w:rsid w:val="00375331"/>
    <w:rsid w:val="0037563F"/>
    <w:rsid w:val="0037762B"/>
    <w:rsid w:val="00380CDB"/>
    <w:rsid w:val="00382AA4"/>
    <w:rsid w:val="003B7962"/>
    <w:rsid w:val="003C1B55"/>
    <w:rsid w:val="003C3999"/>
    <w:rsid w:val="003C7331"/>
    <w:rsid w:val="003C77F2"/>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233F"/>
    <w:rsid w:val="00416B8D"/>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4F76"/>
    <w:rsid w:val="004B5CD1"/>
    <w:rsid w:val="004C3FB2"/>
    <w:rsid w:val="004D3581"/>
    <w:rsid w:val="004D6B88"/>
    <w:rsid w:val="004E0A77"/>
    <w:rsid w:val="004E0CF7"/>
    <w:rsid w:val="004F0B70"/>
    <w:rsid w:val="004F0BD6"/>
    <w:rsid w:val="004F1BCE"/>
    <w:rsid w:val="004F24C4"/>
    <w:rsid w:val="004F356D"/>
    <w:rsid w:val="004F414C"/>
    <w:rsid w:val="004F79C1"/>
    <w:rsid w:val="00502457"/>
    <w:rsid w:val="00504688"/>
    <w:rsid w:val="00510933"/>
    <w:rsid w:val="00520332"/>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45D5A"/>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C66C1"/>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36F4E"/>
    <w:rsid w:val="0074001C"/>
    <w:rsid w:val="00745811"/>
    <w:rsid w:val="00751FED"/>
    <w:rsid w:val="007541EE"/>
    <w:rsid w:val="0075616E"/>
    <w:rsid w:val="00756E33"/>
    <w:rsid w:val="00760762"/>
    <w:rsid w:val="00760BFC"/>
    <w:rsid w:val="007618EB"/>
    <w:rsid w:val="00764E9F"/>
    <w:rsid w:val="00765CFC"/>
    <w:rsid w:val="00766364"/>
    <w:rsid w:val="00776857"/>
    <w:rsid w:val="00782B1A"/>
    <w:rsid w:val="0078591F"/>
    <w:rsid w:val="00785B26"/>
    <w:rsid w:val="00785CAE"/>
    <w:rsid w:val="00787092"/>
    <w:rsid w:val="00791A45"/>
    <w:rsid w:val="00792488"/>
    <w:rsid w:val="007962F6"/>
    <w:rsid w:val="007A15FB"/>
    <w:rsid w:val="007B1187"/>
    <w:rsid w:val="007B3A60"/>
    <w:rsid w:val="007C4650"/>
    <w:rsid w:val="007C4ED7"/>
    <w:rsid w:val="007C56F8"/>
    <w:rsid w:val="007D1B18"/>
    <w:rsid w:val="007D6979"/>
    <w:rsid w:val="007E2907"/>
    <w:rsid w:val="007E3661"/>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7692"/>
    <w:rsid w:val="00831E78"/>
    <w:rsid w:val="00832069"/>
    <w:rsid w:val="00834C78"/>
    <w:rsid w:val="008364E2"/>
    <w:rsid w:val="00836637"/>
    <w:rsid w:val="00843A19"/>
    <w:rsid w:val="00845456"/>
    <w:rsid w:val="00853ED9"/>
    <w:rsid w:val="00860BAF"/>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25DF"/>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8E9"/>
    <w:rsid w:val="009F2945"/>
    <w:rsid w:val="009F40E0"/>
    <w:rsid w:val="009F64AE"/>
    <w:rsid w:val="009F7414"/>
    <w:rsid w:val="00A00F15"/>
    <w:rsid w:val="00A026C1"/>
    <w:rsid w:val="00A066AE"/>
    <w:rsid w:val="00A128F1"/>
    <w:rsid w:val="00A12B9A"/>
    <w:rsid w:val="00A130B5"/>
    <w:rsid w:val="00A14313"/>
    <w:rsid w:val="00A15E80"/>
    <w:rsid w:val="00A16BF3"/>
    <w:rsid w:val="00A17070"/>
    <w:rsid w:val="00A2065F"/>
    <w:rsid w:val="00A21D0E"/>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2806"/>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20A"/>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4746"/>
    <w:rsid w:val="00CF7D4F"/>
    <w:rsid w:val="00D02995"/>
    <w:rsid w:val="00D06086"/>
    <w:rsid w:val="00D1116D"/>
    <w:rsid w:val="00D12F43"/>
    <w:rsid w:val="00D13CD4"/>
    <w:rsid w:val="00D224DC"/>
    <w:rsid w:val="00D230FC"/>
    <w:rsid w:val="00D23869"/>
    <w:rsid w:val="00D2546F"/>
    <w:rsid w:val="00D373B1"/>
    <w:rsid w:val="00D42FB7"/>
    <w:rsid w:val="00D51097"/>
    <w:rsid w:val="00D578F5"/>
    <w:rsid w:val="00D611C4"/>
    <w:rsid w:val="00D62022"/>
    <w:rsid w:val="00D622DA"/>
    <w:rsid w:val="00D63C0E"/>
    <w:rsid w:val="00D64A93"/>
    <w:rsid w:val="00D65727"/>
    <w:rsid w:val="00D7120D"/>
    <w:rsid w:val="00D74BAA"/>
    <w:rsid w:val="00D8518D"/>
    <w:rsid w:val="00D85FA8"/>
    <w:rsid w:val="00D86F73"/>
    <w:rsid w:val="00D8776A"/>
    <w:rsid w:val="00D93CB2"/>
    <w:rsid w:val="00D96142"/>
    <w:rsid w:val="00D96E8B"/>
    <w:rsid w:val="00D97B75"/>
    <w:rsid w:val="00DA344F"/>
    <w:rsid w:val="00DA35B6"/>
    <w:rsid w:val="00DB02E1"/>
    <w:rsid w:val="00DB33FD"/>
    <w:rsid w:val="00DB3FA8"/>
    <w:rsid w:val="00DB5BC6"/>
    <w:rsid w:val="00DB7D22"/>
    <w:rsid w:val="00DC2F86"/>
    <w:rsid w:val="00DC4FB0"/>
    <w:rsid w:val="00DD1903"/>
    <w:rsid w:val="00DD328F"/>
    <w:rsid w:val="00DD7A93"/>
    <w:rsid w:val="00DE0CE1"/>
    <w:rsid w:val="00DE182C"/>
    <w:rsid w:val="00DE3135"/>
    <w:rsid w:val="00DE5DE1"/>
    <w:rsid w:val="00DF11B5"/>
    <w:rsid w:val="00DF6887"/>
    <w:rsid w:val="00E01613"/>
    <w:rsid w:val="00E14CF9"/>
    <w:rsid w:val="00E173A7"/>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170D"/>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3CB9"/>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C4EA-FEBB-41E5-956C-EDC2205D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9611</Characters>
  <Application>Microsoft Office Word</Application>
  <DocSecurity>0</DocSecurity>
  <Lines>80</Lines>
  <Paragraphs>21</Paragraphs>
  <ScaleCrop>false</ScaleCrop>
  <Company/>
  <LinksUpToDate>false</LinksUpToDate>
  <CharactersWithSpaces>10982</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2017-10-13T07:21:00Z</dcterms:created>
  <dcterms:modified xsi:type="dcterms:W3CDTF">2017-10-13T07:21:00Z</dcterms:modified>
</cp:coreProperties>
</file>