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bookmarkStart w:id="0" w:name="_GoBack"/>
      <w:bookmarkEnd w:id="0"/>
      <w:r w:rsidRPr="007E293B">
        <w:rPr>
          <w:rFonts w:ascii="Times New Roman" w:eastAsia="Times New Roman" w:hAnsi="Times New Roman"/>
          <w:i/>
          <w:iCs/>
          <w:u w:val="single"/>
        </w:rPr>
        <w:t xml:space="preserve">19. melléklet a 44/2015. (XI. 2.) </w:t>
      </w:r>
      <w:proofErr w:type="spellStart"/>
      <w:r w:rsidRPr="007E293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7E293B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1" w:name="foot_31_place"/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1"/>
    </w:p>
    <w:p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</w:rPr>
        <w:t xml:space="preserve">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552"/>
        <w:gridCol w:w="2409"/>
      </w:tblGrid>
      <w:tr w:rsidR="007E293B" w:rsidRPr="00DF65A0" w:rsidTr="007E293B">
        <w:tc>
          <w:tcPr>
            <w:tcW w:w="9654" w:type="dxa"/>
            <w:gridSpan w:val="3"/>
            <w:hideMark/>
          </w:tcPr>
          <w:p w:rsidR="007E293B" w:rsidRPr="00DF65A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65A0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DF65A0" w:rsidRPr="00DF65A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DF65A0" w:rsidRPr="00DF65A0">
              <w:rPr>
                <w:rFonts w:ascii="Times New Roman" w:eastAsia="Times New Roman" w:hAnsi="Times New Roman"/>
                <w:b/>
                <w:sz w:val="18"/>
                <w:szCs w:val="18"/>
              </w:rPr>
              <w:t>Budapesti Közlekedési Zártkörűen Működő Részvénytársaság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DF65A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DF65A0" w:rsidRPr="00DF65A0">
              <w:rPr>
                <w:rFonts w:ascii="Times New Roman" w:eastAsia="Times New Roman" w:hAnsi="Times New Roman"/>
                <w:b/>
                <w:sz w:val="18"/>
                <w:szCs w:val="18"/>
              </w:rPr>
              <w:t>Akácfa utca 15.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DF65A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DF65A0" w:rsidRPr="00DF65A0">
              <w:rPr>
                <w:rFonts w:ascii="Times New Roman" w:eastAsia="Times New Roman" w:hAnsi="Times New Roman"/>
                <w:b/>
                <w:sz w:val="18"/>
                <w:szCs w:val="18"/>
              </w:rPr>
              <w:t>Budapest</w:t>
            </w:r>
          </w:p>
        </w:tc>
        <w:tc>
          <w:tcPr>
            <w:tcW w:w="2552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DF65A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DF65A0" w:rsidRPr="00DF65A0">
              <w:rPr>
                <w:rFonts w:ascii="Times New Roman" w:eastAsia="Times New Roman" w:hAnsi="Times New Roman"/>
                <w:b/>
                <w:sz w:val="18"/>
                <w:szCs w:val="18"/>
              </w:rPr>
              <w:t>1980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DF65A0">
              <w:rPr>
                <w:rFonts w:ascii="Times New Roman" w:eastAsia="Times New Roman" w:hAnsi="Times New Roman"/>
                <w:sz w:val="18"/>
                <w:szCs w:val="18"/>
              </w:rPr>
              <w:t xml:space="preserve"> HU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Az érdeklődés jelzésére szolgáló elérhetőség: </w:t>
            </w:r>
            <w:r w:rsidR="00DF65A0" w:rsidRPr="00DF65A0">
              <w:rPr>
                <w:rFonts w:ascii="Times New Roman" w:eastAsia="Times New Roman" w:hAnsi="Times New Roman"/>
                <w:b/>
                <w:sz w:val="18"/>
                <w:szCs w:val="18"/>
              </w:rPr>
              <w:t>e-mail:</w:t>
            </w:r>
            <w:r w:rsidR="00DF65A0" w:rsidRPr="00DF65A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hyperlink r:id="rId8" w:history="1">
              <w:r w:rsidR="00DF65A0" w:rsidRPr="00DF65A0">
                <w:rPr>
                  <w:rStyle w:val="Hiperhivatkozs"/>
                  <w:rFonts w:ascii="Times New Roman" w:eastAsia="Times New Roman" w:hAnsi="Times New Roman"/>
                  <w:b/>
                  <w:sz w:val="18"/>
                  <w:szCs w:val="18"/>
                </w:rPr>
                <w:t>kozbeszerzes@bkv.hu</w:t>
              </w:r>
            </w:hyperlink>
            <w:r w:rsidR="00DF65A0" w:rsidRPr="00DF65A0">
              <w:rPr>
                <w:rFonts w:ascii="Times New Roman" w:eastAsia="Times New Roman" w:hAnsi="Times New Roman"/>
                <w:b/>
                <w:sz w:val="18"/>
                <w:szCs w:val="18"/>
              </w:rPr>
              <w:t>, fax: (+36) 1 322-6438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DF65A0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II.1.1) </w:t>
            </w:r>
            <w:proofErr w:type="gramStart"/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szerződés típusa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Építési beruházás </w:t>
            </w:r>
            <w:r w:rsidR="00DF65A0" w:rsidRPr="00DF65A0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  <w:r w:rsidRPr="00DF65A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Árubeszerzés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Szolgáltatásmegrendelés</w:t>
            </w:r>
            <w:proofErr w:type="spellEnd"/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A szerződés tárgya: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CD013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II.1.3) A közbeszerzés mennyisége:</w:t>
            </w:r>
          </w:p>
          <w:p w:rsidR="00CD0130" w:rsidRPr="00CD0130" w:rsidRDefault="00CD0130" w:rsidP="00CD0130">
            <w:pPr>
              <w:pStyle w:val="Szvegtrzsbehzssal2"/>
              <w:spacing w:after="0" w:line="240" w:lineRule="auto"/>
              <w:ind w:left="1134" w:hanging="425"/>
              <w:rPr>
                <w:rFonts w:ascii="Calibri" w:hAnsi="Calibri" w:cs="Calibri"/>
                <w:szCs w:val="28"/>
              </w:rPr>
            </w:pPr>
            <w:proofErr w:type="gramStart"/>
            <w:r w:rsidRPr="00CD0130">
              <w:rPr>
                <w:rFonts w:ascii="Calibri" w:hAnsi="Calibri" w:cs="Calibri"/>
                <w:szCs w:val="28"/>
              </w:rPr>
              <w:t>I.  rész</w:t>
            </w:r>
            <w:proofErr w:type="gramEnd"/>
            <w:r w:rsidRPr="00CD0130">
              <w:rPr>
                <w:rFonts w:ascii="Calibri" w:hAnsi="Calibri" w:cs="Calibri"/>
                <w:szCs w:val="28"/>
              </w:rPr>
              <w:t>: Hevederek, alátétlemezek 1970 db/év tervezett mennyiségben</w:t>
            </w:r>
          </w:p>
          <w:p w:rsidR="00CD0130" w:rsidRPr="00CD0130" w:rsidRDefault="00CD0130" w:rsidP="00CD0130">
            <w:pPr>
              <w:pStyle w:val="Szvegtrzsbehzssal2"/>
              <w:spacing w:after="0" w:line="240" w:lineRule="auto"/>
              <w:ind w:left="993" w:hanging="284"/>
              <w:rPr>
                <w:rFonts w:ascii="Calibri" w:hAnsi="Calibri" w:cs="Calibri"/>
                <w:szCs w:val="28"/>
              </w:rPr>
            </w:pPr>
            <w:proofErr w:type="gramStart"/>
            <w:r w:rsidRPr="00CD0130">
              <w:rPr>
                <w:rFonts w:ascii="Calibri" w:hAnsi="Calibri" w:cs="Calibri"/>
                <w:szCs w:val="28"/>
              </w:rPr>
              <w:t>II.  rész</w:t>
            </w:r>
            <w:proofErr w:type="gramEnd"/>
            <w:r w:rsidRPr="00CD0130">
              <w:rPr>
                <w:rFonts w:ascii="Calibri" w:hAnsi="Calibri" w:cs="Calibri"/>
                <w:szCs w:val="28"/>
              </w:rPr>
              <w:t>: Felépítményi csavarok 16420 db/év tervezett mennyiségben</w:t>
            </w:r>
          </w:p>
          <w:p w:rsidR="007E293B" w:rsidRPr="00CD0130" w:rsidRDefault="00CD0130" w:rsidP="00CD0130">
            <w:pPr>
              <w:ind w:firstLine="709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CD0130">
              <w:rPr>
                <w:rFonts w:ascii="Calibri" w:hAnsi="Calibri" w:cs="Calibri"/>
                <w:szCs w:val="28"/>
              </w:rPr>
              <w:t>III. rész: Leszorítók, egyéb speciális kapcsolószerek 37020 db/év tervezett mennyiségben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CD013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II.1.4)</w:t>
            </w:r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 szerződés időtartama, vagy a teljesítés határideje</w:t>
            </w:r>
          </w:p>
          <w:p w:rsidR="007E293B" w:rsidRPr="00CD013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0130">
              <w:rPr>
                <w:rFonts w:ascii="Times New Roman" w:eastAsia="Times New Roman" w:hAnsi="Times New Roman"/>
                <w:sz w:val="18"/>
                <w:szCs w:val="18"/>
              </w:rPr>
              <w:t>Időtartam hónapban: [</w:t>
            </w:r>
            <w:proofErr w:type="gramStart"/>
            <w:r w:rsidR="00CD0130" w:rsidRPr="00CD0130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Pr="00CD0130">
              <w:rPr>
                <w:rFonts w:ascii="Times New Roman" w:eastAsia="Times New Roman" w:hAnsi="Times New Roman"/>
                <w:sz w:val="18"/>
                <w:szCs w:val="18"/>
              </w:rPr>
              <w:t xml:space="preserve"> ]</w:t>
            </w:r>
            <w:proofErr w:type="gramEnd"/>
            <w:r w:rsidRPr="00CD0130">
              <w:rPr>
                <w:rFonts w:ascii="Times New Roman" w:eastAsia="Times New Roman" w:hAnsi="Times New Roman"/>
                <w:sz w:val="18"/>
                <w:szCs w:val="18"/>
              </w:rPr>
              <w:t xml:space="preserve"> vagy napban: [ ]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CD0130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CD013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CD013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CD013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CD013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CD013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CD013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CD013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E293B" w:rsidRPr="00CD0130" w:rsidTr="007E293B">
        <w:tc>
          <w:tcPr>
            <w:tcW w:w="9654" w:type="dxa"/>
            <w:hideMark/>
          </w:tcPr>
          <w:p w:rsidR="007E293B" w:rsidRPr="00CD013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II.1.5</w:t>
            </w:r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</w:t>
            </w:r>
            <w:proofErr w:type="gramStart"/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teljesítés helye:</w:t>
            </w:r>
            <w:r w:rsidR="00CD0130"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D0130" w:rsidRPr="00CD0130">
              <w:rPr>
                <w:rFonts w:ascii="Times New Roman" w:hAnsi="Times New Roman"/>
                <w:sz w:val="18"/>
                <w:szCs w:val="18"/>
              </w:rPr>
              <w:t>BKV Zrt. M280 raktár 1106 Bp. Fehér út 1/b</w:t>
            </w:r>
            <w:proofErr w:type="gramStart"/>
            <w:r w:rsidR="00CD0130" w:rsidRPr="00CD0130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="00CD0130" w:rsidRPr="00CD0130">
              <w:rPr>
                <w:rFonts w:ascii="Times New Roman" w:hAnsi="Times New Roman"/>
                <w:sz w:val="18"/>
                <w:szCs w:val="18"/>
              </w:rPr>
              <w:t xml:space="preserve"> BKV Zrt. M270 raktár 1103 Bp. Kőér u.2/b</w:t>
            </w:r>
            <w:proofErr w:type="gramStart"/>
            <w:r w:rsidR="00CD0130" w:rsidRPr="00CD0130">
              <w:rPr>
                <w:rFonts w:ascii="Times New Roman" w:hAnsi="Times New Roman"/>
                <w:sz w:val="18"/>
                <w:szCs w:val="18"/>
              </w:rPr>
              <w:t>.</w:t>
            </w:r>
            <w:r w:rsidR="00CD0130" w:rsidRPr="00CD013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="00CD0130" w:rsidRPr="00CD013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D0130" w:rsidRPr="00CD0130">
              <w:rPr>
                <w:rFonts w:ascii="Times New Roman" w:eastAsia="Times New Roman" w:hAnsi="Times New Roman"/>
                <w:bCs/>
                <w:sz w:val="18"/>
                <w:szCs w:val="18"/>
              </w:rPr>
              <w:t>[</w:t>
            </w:r>
            <w:proofErr w:type="gramStart"/>
            <w:r w:rsidR="00CD0130" w:rsidRPr="00CD0130">
              <w:rPr>
                <w:rFonts w:ascii="Times New Roman" w:eastAsia="Times New Roman" w:hAnsi="Times New Roman"/>
                <w:bCs/>
                <w:sz w:val="18"/>
                <w:szCs w:val="18"/>
              </w:rPr>
              <w:t>HU</w:t>
            </w:r>
            <w:proofErr w:type="gramEnd"/>
            <w:r w:rsidR="00CD0130" w:rsidRPr="00CD013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101]</w:t>
            </w:r>
          </w:p>
        </w:tc>
      </w:tr>
    </w:tbl>
    <w:p w:rsidR="007E293B" w:rsidRPr="00CD0130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  <w:u w:val="wave"/>
        </w:rPr>
      </w:pPr>
      <w:r w:rsidRPr="00CD0130">
        <w:rPr>
          <w:rFonts w:ascii="Times New Roman" w:eastAsia="Times New Roman" w:hAnsi="Times New Roman"/>
          <w:b/>
          <w:bCs/>
          <w:sz w:val="28"/>
          <w:szCs w:val="28"/>
          <w:u w:val="wave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9"/>
      </w:tblGrid>
      <w:tr w:rsidR="007E293B" w:rsidRPr="00F77147" w:rsidTr="00B31924">
        <w:tc>
          <w:tcPr>
            <w:tcW w:w="9749" w:type="dxa"/>
            <w:hideMark/>
          </w:tcPr>
          <w:p w:rsidR="007E293B" w:rsidRPr="00CD0130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III.1) Értékelési szempontok:</w:t>
            </w:r>
          </w:p>
          <w:p w:rsidR="007E293B" w:rsidRPr="00F77147" w:rsidRDefault="00CD0130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CD0130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A legalacsonyabb ár</w:t>
            </w:r>
            <w:proofErr w:type="gramStart"/>
            <w:r w:rsidRPr="00CD0130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.</w:t>
            </w:r>
            <w:r w:rsidR="007E293B" w:rsidRPr="00CD0130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:</w:t>
            </w:r>
            <w:proofErr w:type="gramEnd"/>
            <w:r w:rsidR="007E293B" w:rsidRPr="00CD0130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4</w:t>
            </w:r>
          </w:p>
        </w:tc>
      </w:tr>
    </w:tbl>
    <w:p w:rsidR="007E293B" w:rsidRPr="00CD0130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CD0130">
        <w:rPr>
          <w:rFonts w:ascii="Times New Roman" w:eastAsia="Times New Roman" w:hAnsi="Times New Roman"/>
          <w:b/>
          <w:bCs/>
          <w:sz w:val="28"/>
          <w:szCs w:val="28"/>
          <w:u w:val="wave"/>
        </w:rPr>
        <w:t>IV</w:t>
      </w:r>
      <w:r w:rsidRPr="00CD0130">
        <w:rPr>
          <w:rFonts w:ascii="Times New Roman" w:eastAsia="Times New Roman" w:hAnsi="Times New Roman"/>
          <w:b/>
          <w:bCs/>
          <w:sz w:val="28"/>
          <w:szCs w:val="28"/>
        </w:rPr>
        <w:t>. szakasz: Jogi információ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CD0130">
        <w:rPr>
          <w:rFonts w:ascii="Times New Roman" w:eastAsia="Times New Roman" w:hAnsi="Times New Roman"/>
          <w:b/>
          <w:bCs/>
          <w:u w:val="wave"/>
        </w:rPr>
        <w:t>IV</w:t>
      </w:r>
      <w:r w:rsidRPr="00CD0130">
        <w:rPr>
          <w:rFonts w:ascii="Times New Roman" w:eastAsia="Times New Roman" w:hAnsi="Times New Roman"/>
          <w:b/>
          <w:bCs/>
        </w:rPr>
        <w:t>.1)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CD0130" w:rsidTr="00B31924">
        <w:tc>
          <w:tcPr>
            <w:tcW w:w="9776" w:type="dxa"/>
            <w:hideMark/>
          </w:tcPr>
          <w:p w:rsidR="007E293B" w:rsidRPr="00CD013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</w:pPr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IV.1.1) Alkalmassági </w:t>
            </w:r>
            <w:proofErr w:type="gramStart"/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minimumkövetelmény(</w:t>
            </w:r>
            <w:proofErr w:type="spellStart"/>
            <w:proofErr w:type="gramEnd"/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ek</w:t>
            </w:r>
            <w:proofErr w:type="spellEnd"/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):</w:t>
            </w:r>
            <w:r w:rsidRPr="00CD013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  <w:t>2</w:t>
            </w:r>
          </w:p>
          <w:p w:rsidR="00CD0130" w:rsidRPr="00CD0130" w:rsidRDefault="00CD0130" w:rsidP="00CD0130">
            <w:pPr>
              <w:ind w:left="709" w:hanging="425"/>
              <w:rPr>
                <w:rFonts w:ascii="Times New Roman" w:hAnsi="Times New Roman"/>
                <w:sz w:val="18"/>
                <w:szCs w:val="18"/>
              </w:rPr>
            </w:pPr>
            <w:r w:rsidRPr="00CD0130">
              <w:rPr>
                <w:rFonts w:ascii="Times New Roman" w:hAnsi="Times New Roman"/>
                <w:sz w:val="18"/>
                <w:szCs w:val="18"/>
              </w:rPr>
              <w:t>P1.</w:t>
            </w:r>
            <w:r w:rsidRPr="00CD0130">
              <w:rPr>
                <w:rFonts w:ascii="Times New Roman" w:hAnsi="Times New Roman"/>
                <w:sz w:val="18"/>
                <w:szCs w:val="18"/>
              </w:rPr>
              <w:tab/>
              <w:t xml:space="preserve">A szerződés teljesítésére alkalmasnak minősül az Ajánlattevő (közös ajánlattevő), ha az előző három </w:t>
            </w:r>
            <w:proofErr w:type="spellStart"/>
            <w:r w:rsidRPr="00CD0130">
              <w:rPr>
                <w:rFonts w:ascii="Times New Roman" w:hAnsi="Times New Roman"/>
                <w:sz w:val="18"/>
                <w:szCs w:val="18"/>
              </w:rPr>
              <w:t>mérlegfordulónappal</w:t>
            </w:r>
            <w:proofErr w:type="spellEnd"/>
            <w:r w:rsidRPr="00CD0130">
              <w:rPr>
                <w:rFonts w:ascii="Times New Roman" w:hAnsi="Times New Roman"/>
                <w:sz w:val="18"/>
                <w:szCs w:val="18"/>
              </w:rPr>
              <w:t xml:space="preserve"> lezárt üzleti évben összesen, a teljes – általános forgalmi adó nélkül számított – árbevétele elérte</w:t>
            </w:r>
          </w:p>
          <w:p w:rsidR="00CD0130" w:rsidRPr="00CD0130" w:rsidRDefault="00CD0130" w:rsidP="00CD0130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130">
              <w:rPr>
                <w:rFonts w:ascii="Times New Roman" w:hAnsi="Times New Roman"/>
                <w:sz w:val="18"/>
                <w:szCs w:val="18"/>
              </w:rPr>
              <w:t>az I. rész esetén a 20 millió forintot</w:t>
            </w:r>
          </w:p>
          <w:p w:rsidR="00CD0130" w:rsidRPr="00CD0130" w:rsidRDefault="00CD0130" w:rsidP="00CD0130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130">
              <w:rPr>
                <w:rFonts w:ascii="Times New Roman" w:hAnsi="Times New Roman"/>
                <w:sz w:val="18"/>
                <w:szCs w:val="18"/>
              </w:rPr>
              <w:t>a II. rész esetén a 10 millió forintot</w:t>
            </w:r>
          </w:p>
          <w:p w:rsidR="00CD0130" w:rsidRPr="00CD0130" w:rsidRDefault="00CD0130" w:rsidP="00CD0130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130">
              <w:rPr>
                <w:rFonts w:ascii="Times New Roman" w:hAnsi="Times New Roman"/>
                <w:sz w:val="18"/>
                <w:szCs w:val="18"/>
              </w:rPr>
              <w:lastRenderedPageBreak/>
              <w:t>a III. rész esetén a 45 millió forintot.</w:t>
            </w:r>
          </w:p>
          <w:p w:rsidR="00CD0130" w:rsidRPr="00CD0130" w:rsidRDefault="00CD0130" w:rsidP="00CD0130">
            <w:pPr>
              <w:ind w:left="709" w:hanging="1"/>
              <w:rPr>
                <w:rFonts w:ascii="Times New Roman" w:hAnsi="Times New Roman"/>
                <w:sz w:val="18"/>
                <w:szCs w:val="18"/>
              </w:rPr>
            </w:pPr>
          </w:p>
          <w:p w:rsidR="00CD0130" w:rsidRPr="00CD0130" w:rsidRDefault="00CD0130" w:rsidP="00CD0130">
            <w:pPr>
              <w:ind w:left="709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CD013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A szerződés teljesítésére alkalmasnak minősül az Ajánlattevő (közös ajánlattevő), amennyiben </w:t>
            </w:r>
            <w:proofErr w:type="spellStart"/>
            <w:r w:rsidRPr="00CD0130">
              <w:rPr>
                <w:rFonts w:ascii="Times New Roman" w:hAnsi="Times New Roman"/>
                <w:sz w:val="18"/>
                <w:szCs w:val="18"/>
              </w:rPr>
              <w:t>mérlegfordulónappal</w:t>
            </w:r>
            <w:proofErr w:type="spellEnd"/>
            <w:r w:rsidRPr="00CD01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130">
              <w:rPr>
                <w:rFonts w:ascii="Times New Roman" w:hAnsi="Times New Roman"/>
                <w:sz w:val="18"/>
                <w:szCs w:val="18"/>
                <w:lang w:val="pt-BR"/>
              </w:rPr>
              <w:t>lezárt üzleti évvel azért nem rendelkezik, mert az időszak kezdete után kezdte meg működését, de működésének ideje alatt, az eljárást megindító felhívás megküldését megelőzően a teljes - általános forgalmi adó nélkül számított - árbevétele eléri a fentiekben meghatározott mértéket. Ebben az esetben árbevételi nyilatkozatát az eljárást megindító felhívás megküldését megelőző működésének ideje alatt elért árbevételéről kell benyújtania.</w:t>
            </w:r>
          </w:p>
          <w:p w:rsidR="00CD0130" w:rsidRPr="00CD0130" w:rsidRDefault="00CD0130" w:rsidP="00CD0130">
            <w:pPr>
              <w:tabs>
                <w:tab w:val="right" w:leader="underscore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CD0130" w:rsidRPr="00CD0130" w:rsidRDefault="00CD0130" w:rsidP="00CD0130">
            <w:pPr>
              <w:spacing w:before="120" w:after="120"/>
              <w:ind w:left="709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CD0130">
              <w:rPr>
                <w:rFonts w:ascii="Times New Roman" w:hAnsi="Times New Roman"/>
                <w:sz w:val="18"/>
                <w:szCs w:val="18"/>
              </w:rPr>
              <w:t>A Kbt. 65. § (6) bekezdése alapján ennek a követelménynek a közös ajánlattevők együttesen is megfelelhetnek.</w:t>
            </w:r>
          </w:p>
        </w:tc>
      </w:tr>
      <w:tr w:rsidR="007E293B" w:rsidRPr="007E293B" w:rsidTr="00B31924">
        <w:tc>
          <w:tcPr>
            <w:tcW w:w="9776" w:type="dxa"/>
            <w:hideMark/>
          </w:tcPr>
          <w:p w:rsidR="007E293B" w:rsidRPr="00DF65A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lastRenderedPageBreak/>
              <w:t>IV</w:t>
            </w: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</w:t>
            </w: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2</w:t>
            </w: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Fenntartott szerződésekre vonatkozó információk </w:t>
            </w:r>
            <w:r w:rsidRPr="00DF65A0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65A0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DF65A0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a Kbt. 114. § (11) bekezdése szerint fenntartott</w:t>
            </w:r>
          </w:p>
        </w:tc>
      </w:tr>
      <w:tr w:rsidR="007E293B" w:rsidRPr="00DF65A0" w:rsidTr="00B31924">
        <w:tc>
          <w:tcPr>
            <w:tcW w:w="9776" w:type="dxa"/>
            <w:hideMark/>
          </w:tcPr>
          <w:p w:rsidR="007E293B" w:rsidRPr="00DF65A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IV.1.3) </w:t>
            </w:r>
            <w:proofErr w:type="gramStart"/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A</w:t>
            </w:r>
            <w:proofErr w:type="gramEnd"/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 Kbt. 75. § (2) bekezdés e) pontjának alkalmazására vonatkozó információk:</w:t>
            </w:r>
            <w:r w:rsidR="00DF65A0"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 </w:t>
            </w:r>
            <w:r w:rsidR="00DF65A0" w:rsidRPr="00DF65A0">
              <w:rPr>
                <w:rFonts w:ascii="Times New Roman" w:hAnsi="Times New Roman"/>
                <w:color w:val="000000"/>
                <w:sz w:val="18"/>
                <w:szCs w:val="18"/>
              </w:rPr>
              <w:t>Ajánlatkérő a Kbt. 75. § (2) bekezdés e) pontját nem alkalmazza.</w:t>
            </w:r>
          </w:p>
        </w:tc>
      </w:tr>
    </w:tbl>
    <w:p w:rsidR="007E293B" w:rsidRPr="00DF65A0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DF65A0">
        <w:rPr>
          <w:rFonts w:ascii="Times New Roman" w:eastAsia="Times New Roman" w:hAnsi="Times New Roman"/>
          <w:b/>
          <w:bCs/>
          <w:sz w:val="28"/>
          <w:szCs w:val="28"/>
          <w:u w:val="wave"/>
        </w:rPr>
        <w:t>V</w:t>
      </w:r>
      <w:r w:rsidRPr="00DF65A0">
        <w:rPr>
          <w:rFonts w:ascii="Times New Roman" w:eastAsia="Times New Roman" w:hAnsi="Times New Roman"/>
          <w:b/>
          <w:bCs/>
          <w:sz w:val="28"/>
          <w:szCs w:val="28"/>
        </w:rPr>
        <w:t>. szakasz: Eljárás</w:t>
      </w:r>
    </w:p>
    <w:p w:rsidR="007E293B" w:rsidRPr="00DF65A0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DF65A0">
        <w:rPr>
          <w:rFonts w:ascii="Times New Roman" w:eastAsia="Times New Roman" w:hAnsi="Times New Roman"/>
          <w:b/>
          <w:bCs/>
          <w:u w:val="wave"/>
        </w:rPr>
        <w:t>V</w:t>
      </w:r>
      <w:r w:rsidRPr="00DF65A0">
        <w:rPr>
          <w:rFonts w:ascii="Times New Roman" w:eastAsia="Times New Roman" w:hAnsi="Times New Roman"/>
          <w:b/>
          <w:bCs/>
        </w:rPr>
        <w:t>.1)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7E293B" w:rsidTr="00B31924">
        <w:tc>
          <w:tcPr>
            <w:tcW w:w="9776" w:type="dxa"/>
            <w:hideMark/>
          </w:tcPr>
          <w:p w:rsidR="007E293B" w:rsidRPr="00DF65A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V</w:t>
            </w: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.1.1) Az eljárás iránti érdeklődés jelzésének határideje</w:t>
            </w:r>
          </w:p>
          <w:p w:rsidR="007E293B" w:rsidRPr="00DF65A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65A0">
              <w:rPr>
                <w:rFonts w:ascii="Times New Roman" w:eastAsia="Times New Roman" w:hAnsi="Times New Roman"/>
                <w:sz w:val="18"/>
                <w:szCs w:val="18"/>
              </w:rPr>
              <w:t xml:space="preserve">Dátum: </w:t>
            </w:r>
            <w:r w:rsidR="00DF65A0" w:rsidRPr="00DF65A0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 xml:space="preserve">2017/április 12. </w:t>
            </w:r>
            <w:r w:rsidR="00DF65A0" w:rsidRPr="00DF65A0">
              <w:rPr>
                <w:rFonts w:ascii="Times New Roman" w:eastAsia="Times New Roman" w:hAnsi="Times New Roman"/>
                <w:sz w:val="18"/>
                <w:szCs w:val="18"/>
              </w:rPr>
              <w:t xml:space="preserve">Helyi idő: </w:t>
            </w:r>
            <w:r w:rsidR="00DF65A0" w:rsidRPr="00DF65A0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10:00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7E293B" w:rsidTr="0061046E">
        <w:tc>
          <w:tcPr>
            <w:tcW w:w="9776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7E293B" w:rsidTr="0061046E">
        <w:tc>
          <w:tcPr>
            <w:tcW w:w="9776" w:type="dxa"/>
            <w:hideMark/>
          </w:tcPr>
          <w:p w:rsidR="00DF65A0" w:rsidRPr="00DF65A0" w:rsidRDefault="007E293B" w:rsidP="00DF65A0">
            <w:pPr>
              <w:spacing w:before="80" w:after="8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="00DF65A0"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 gazdasági szereplő érdeklődését a következők szerint jelezheti:</w:t>
            </w:r>
          </w:p>
          <w:p w:rsidR="00DF65A0" w:rsidRPr="00DF65A0" w:rsidRDefault="00DF65A0" w:rsidP="00DF65A0">
            <w:pPr>
              <w:numPr>
                <w:ilvl w:val="0"/>
                <w:numId w:val="1"/>
              </w:numPr>
              <w:spacing w:before="80" w:after="8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postai vagy közvetlen kézbesítés útján a BKV Zrt. székházában (1072 Budapest, Akácfa utca 15.) B303 iroda, hétfőtől péntekig 8-14 óra között,</w:t>
            </w:r>
          </w:p>
          <w:p w:rsidR="00DF65A0" w:rsidRPr="00DF65A0" w:rsidRDefault="00DF65A0" w:rsidP="00DF65A0">
            <w:pPr>
              <w:numPr>
                <w:ilvl w:val="0"/>
                <w:numId w:val="1"/>
              </w:numPr>
              <w:spacing w:before="80" w:after="8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fax levélben a (+36) 1 322-64-38 számom</w:t>
            </w:r>
          </w:p>
          <w:p w:rsidR="00DF65A0" w:rsidRPr="00DF65A0" w:rsidRDefault="00DF65A0" w:rsidP="00DF65A0">
            <w:pPr>
              <w:numPr>
                <w:ilvl w:val="0"/>
                <w:numId w:val="1"/>
              </w:numPr>
              <w:spacing w:before="80" w:after="8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e-mailen, legalább fokozott biztonságú elektronikus aláírással ellátott vagy a törvény felhatalmazása alapján alkotott jogszabály szerinti követelményeknek megfelelő elektronikus dokumentumba foglalt formában a </w:t>
            </w:r>
            <w:hyperlink r:id="rId9" w:history="1">
              <w:r w:rsidRPr="00DF65A0">
                <w:rPr>
                  <w:rStyle w:val="Hiperhivatkozs"/>
                  <w:rFonts w:ascii="Times New Roman" w:eastAsia="Times New Roman" w:hAnsi="Times New Roman"/>
                  <w:b/>
                  <w:bCs/>
                  <w:sz w:val="18"/>
                  <w:szCs w:val="18"/>
                </w:rPr>
                <w:t>kozbeszerzes@bkv.hu</w:t>
              </w:r>
            </w:hyperlink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e-mail címen.</w:t>
            </w:r>
          </w:p>
          <w:p w:rsidR="007E293B" w:rsidRPr="007E293B" w:rsidRDefault="00DF65A0" w:rsidP="00DF65A0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65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Kérjük, hogy adja meg a gazdasági szereplő nevét, cégjegyzék számát, adószámát, továbbá a kapcsolattartó személy nevét, telefon és faxszámát, valamint e-mail címét és hivatkozzon az eljárás tárgyára és a BKV Zrt. T-98/15. számra.</w:t>
            </w:r>
            <w:r w:rsidR="007E293B" w:rsidRPr="00DF65A0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VI.2) Az összefoglaló tájékoztatás megküldésének dátuma: </w:t>
      </w:r>
      <w:r w:rsidR="00CD0130">
        <w:rPr>
          <w:rFonts w:ascii="Times New Roman" w:eastAsia="Times New Roman" w:hAnsi="Times New Roman"/>
          <w:i/>
          <w:iCs/>
          <w:sz w:val="18"/>
          <w:szCs w:val="18"/>
        </w:rPr>
        <w:t>2017.03.24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DF65A0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DF65A0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DF65A0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DF65A0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DF65A0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3    </w:t>
      </w:r>
      <w:r w:rsidRPr="00DF65A0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DF65A0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4    </w:t>
      </w:r>
      <w:r w:rsidRPr="00DF65A0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megadható; ha az ár az egyetlen értékelési szempont, súlyszám nem szükséges</w:t>
      </w:r>
    </w:p>
    <w:sectPr w:rsidR="007E293B" w:rsidRPr="007E293B" w:rsidSect="007E2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5D" w:rsidRDefault="00155A5D" w:rsidP="0034304D">
      <w:r>
        <w:separator/>
      </w:r>
    </w:p>
  </w:endnote>
  <w:endnote w:type="continuationSeparator" w:id="0">
    <w:p w:rsidR="00155A5D" w:rsidRDefault="00155A5D" w:rsidP="0034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D" w:rsidRDefault="003430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D" w:rsidRDefault="0034304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D" w:rsidRDefault="003430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5D" w:rsidRDefault="00155A5D" w:rsidP="0034304D">
      <w:r>
        <w:separator/>
      </w:r>
    </w:p>
  </w:footnote>
  <w:footnote w:type="continuationSeparator" w:id="0">
    <w:p w:rsidR="00155A5D" w:rsidRDefault="00155A5D" w:rsidP="0034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D" w:rsidRDefault="003430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D" w:rsidRDefault="0034304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D" w:rsidRDefault="003430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638C"/>
    <w:multiLevelType w:val="hybridMultilevel"/>
    <w:tmpl w:val="8D7E995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CA2403"/>
    <w:multiLevelType w:val="hybridMultilevel"/>
    <w:tmpl w:val="69F44B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B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55A5D"/>
    <w:rsid w:val="00173713"/>
    <w:rsid w:val="0018117E"/>
    <w:rsid w:val="001840EA"/>
    <w:rsid w:val="001977C3"/>
    <w:rsid w:val="002670BE"/>
    <w:rsid w:val="002C6895"/>
    <w:rsid w:val="002D0689"/>
    <w:rsid w:val="00336A1A"/>
    <w:rsid w:val="0034304D"/>
    <w:rsid w:val="00384EC1"/>
    <w:rsid w:val="00402483"/>
    <w:rsid w:val="004A7664"/>
    <w:rsid w:val="004C642A"/>
    <w:rsid w:val="00506BAF"/>
    <w:rsid w:val="00520044"/>
    <w:rsid w:val="0061046E"/>
    <w:rsid w:val="00630419"/>
    <w:rsid w:val="0063394D"/>
    <w:rsid w:val="006512C7"/>
    <w:rsid w:val="006810A5"/>
    <w:rsid w:val="006F548E"/>
    <w:rsid w:val="00737F99"/>
    <w:rsid w:val="007C3BEC"/>
    <w:rsid w:val="007E293B"/>
    <w:rsid w:val="00874DDF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1924"/>
    <w:rsid w:val="00B3410C"/>
    <w:rsid w:val="00BF0B81"/>
    <w:rsid w:val="00C11EEB"/>
    <w:rsid w:val="00CD0130"/>
    <w:rsid w:val="00D9687F"/>
    <w:rsid w:val="00DF65A0"/>
    <w:rsid w:val="00E43CD6"/>
    <w:rsid w:val="00E76054"/>
    <w:rsid w:val="00E856FD"/>
    <w:rsid w:val="00EB35D1"/>
    <w:rsid w:val="00EE3111"/>
    <w:rsid w:val="00F64EB3"/>
    <w:rsid w:val="00F77147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Szvegtrzsbehzssal2">
    <w:name w:val="Body Text Indent 2"/>
    <w:basedOn w:val="Norml"/>
    <w:link w:val="Szvegtrzsbehzssal2Char"/>
    <w:rsid w:val="00CD0130"/>
    <w:pPr>
      <w:spacing w:after="120" w:line="480" w:lineRule="auto"/>
      <w:ind w:left="283"/>
    </w:pPr>
    <w:rPr>
      <w:rFonts w:ascii="Times New Roman" w:eastAsia="Times New Roman" w:hAnsi="Times New Roman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CD0130"/>
    <w:rPr>
      <w:rFonts w:ascii="Times New Roman" w:eastAsia="Times New Roman" w:hAnsi="Times New Roman"/>
      <w:szCs w:val="20"/>
    </w:rPr>
  </w:style>
  <w:style w:type="paragraph" w:styleId="lfej">
    <w:name w:val="header"/>
    <w:basedOn w:val="Norml"/>
    <w:link w:val="lfejChar"/>
    <w:uiPriority w:val="99"/>
    <w:unhideWhenUsed/>
    <w:rsid w:val="003430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304D"/>
  </w:style>
  <w:style w:type="paragraph" w:styleId="llb">
    <w:name w:val="footer"/>
    <w:basedOn w:val="Norml"/>
    <w:link w:val="llbChar"/>
    <w:uiPriority w:val="99"/>
    <w:unhideWhenUsed/>
    <w:rsid w:val="003430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Szvegtrzsbehzssal2">
    <w:name w:val="Body Text Indent 2"/>
    <w:basedOn w:val="Norml"/>
    <w:link w:val="Szvegtrzsbehzssal2Char"/>
    <w:rsid w:val="00CD0130"/>
    <w:pPr>
      <w:spacing w:after="120" w:line="480" w:lineRule="auto"/>
      <w:ind w:left="283"/>
    </w:pPr>
    <w:rPr>
      <w:rFonts w:ascii="Times New Roman" w:eastAsia="Times New Roman" w:hAnsi="Times New Roman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CD0130"/>
    <w:rPr>
      <w:rFonts w:ascii="Times New Roman" w:eastAsia="Times New Roman" w:hAnsi="Times New Roman"/>
      <w:szCs w:val="20"/>
    </w:rPr>
  </w:style>
  <w:style w:type="paragraph" w:styleId="lfej">
    <w:name w:val="header"/>
    <w:basedOn w:val="Norml"/>
    <w:link w:val="lfejChar"/>
    <w:uiPriority w:val="99"/>
    <w:unhideWhenUsed/>
    <w:rsid w:val="003430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304D"/>
  </w:style>
  <w:style w:type="paragraph" w:styleId="llb">
    <w:name w:val="footer"/>
    <w:basedOn w:val="Norml"/>
    <w:link w:val="llbChar"/>
    <w:uiPriority w:val="99"/>
    <w:unhideWhenUsed/>
    <w:rsid w:val="003430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bk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zbeszerzes@bkv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2017-10-17T13:54:00Z</dcterms:created>
  <dcterms:modified xsi:type="dcterms:W3CDTF">2017-10-17T13:54:00Z</dcterms:modified>
</cp:coreProperties>
</file>