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1D" w:rsidRDefault="00742B1D" w:rsidP="00742B1D">
      <w:pPr>
        <w:rPr>
          <w:rFonts w:ascii="Garamond" w:hAnsi="Garamond"/>
        </w:rPr>
      </w:pPr>
      <w:bookmarkStart w:id="0" w:name="_GoBack"/>
      <w:bookmarkEnd w:id="0"/>
    </w:p>
    <w:p w:rsidR="00742B1D" w:rsidRDefault="00742B1D" w:rsidP="00742B1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Műszaki diszpozíció</w:t>
      </w:r>
    </w:p>
    <w:p w:rsidR="00742B1D" w:rsidRDefault="00742B1D" w:rsidP="00742B1D">
      <w:pPr>
        <w:rPr>
          <w:rFonts w:ascii="Garamond" w:hAnsi="Garamond"/>
        </w:rPr>
      </w:pPr>
    </w:p>
    <w:p w:rsidR="00742B1D" w:rsidRDefault="00742B1D" w:rsidP="00742B1D">
      <w:pPr>
        <w:ind w:right="71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 xml:space="preserve">A BKV Zrt három telephelyén (Székház, Hungária villamos kocsiszín, </w:t>
      </w:r>
      <w:proofErr w:type="spellStart"/>
      <w:r>
        <w:rPr>
          <w:rFonts w:ascii="Garamond" w:hAnsi="Garamond"/>
          <w:lang w:eastAsia="ru-RU"/>
        </w:rPr>
        <w:t>Cinkota</w:t>
      </w:r>
      <w:proofErr w:type="spellEnd"/>
      <w:r>
        <w:rPr>
          <w:rFonts w:ascii="Garamond" w:hAnsi="Garamond"/>
          <w:lang w:eastAsia="ru-RU"/>
        </w:rPr>
        <w:t xml:space="preserve"> ATÜI) napelemes pilot projekt tervezése, alternatív megoldások megtérülési vizsgálata, és egyesített engedélyezési és kivitelei tervek készítése, engedélyeztetése. A három helyszínről a fogyasztási adatok negyedórás bontásban rendelkezésre állnak (melyeket díjmentesen rendelkezésre bocsájtunk), de további méréseket is végezhet a tervező. A műszaki/megtérülési számításokat helyszínenként minimum két alternatívára kell elvégezni:</w:t>
      </w:r>
    </w:p>
    <w:p w:rsidR="00742B1D" w:rsidRDefault="00742B1D" w:rsidP="00742B1D">
      <w:pPr>
        <w:ind w:left="426" w:right="71"/>
        <w:jc w:val="both"/>
        <w:rPr>
          <w:rFonts w:ascii="Garamond" w:hAnsi="Garamond"/>
          <w:lang w:eastAsia="ru-RU"/>
        </w:rPr>
      </w:pPr>
    </w:p>
    <w:p w:rsidR="00742B1D" w:rsidRDefault="00742B1D" w:rsidP="00742B1D">
      <w:pPr>
        <w:numPr>
          <w:ilvl w:val="0"/>
          <w:numId w:val="1"/>
        </w:numPr>
        <w:ind w:left="567" w:right="71" w:firstLine="0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>áramszolgáltató felé történő visszatáplálás nem jön létre, a termelt energia mennyiség mindig kisebb az adott napszak telephelyi fogyasztásánál.</w:t>
      </w:r>
    </w:p>
    <w:p w:rsidR="00742B1D" w:rsidRDefault="00742B1D" w:rsidP="00742B1D">
      <w:pPr>
        <w:numPr>
          <w:ilvl w:val="0"/>
          <w:numId w:val="1"/>
        </w:numPr>
        <w:ind w:left="567" w:right="71" w:firstLine="0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>áramszolgáltató felé történő visszatáplálás jön létre, a termelt energia mennyiség időszakosan több az adott napszak telephelyi fogyasztásánál.</w:t>
      </w:r>
    </w:p>
    <w:p w:rsidR="00742B1D" w:rsidRDefault="00742B1D" w:rsidP="00742B1D">
      <w:pPr>
        <w:ind w:left="426" w:right="71"/>
        <w:jc w:val="both"/>
        <w:rPr>
          <w:rFonts w:ascii="Garamond" w:hAnsi="Garamond"/>
          <w:lang w:eastAsia="ru-RU"/>
        </w:rPr>
      </w:pPr>
    </w:p>
    <w:p w:rsidR="00742B1D" w:rsidRDefault="00742B1D" w:rsidP="00742B1D">
      <w:pPr>
        <w:ind w:right="71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>A megtérülési/megvalósíthatósági vizsgálatot legalább az alábbi bontásban kérjük bemutatni:</w:t>
      </w:r>
    </w:p>
    <w:p w:rsidR="00742B1D" w:rsidRDefault="00742B1D" w:rsidP="00742B1D">
      <w:pPr>
        <w:ind w:left="426" w:right="71"/>
        <w:jc w:val="both"/>
        <w:rPr>
          <w:rFonts w:ascii="Garamond" w:hAnsi="Garamond"/>
          <w:lang w:eastAsia="ru-RU"/>
        </w:rPr>
      </w:pPr>
    </w:p>
    <w:p w:rsidR="00742B1D" w:rsidRDefault="00742B1D" w:rsidP="00742B1D">
      <w:pPr>
        <w:numPr>
          <w:ilvl w:val="0"/>
          <w:numId w:val="2"/>
        </w:numPr>
        <w:ind w:left="567" w:right="71" w:firstLine="0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>Műszaki,</w:t>
      </w:r>
    </w:p>
    <w:p w:rsidR="00742B1D" w:rsidRDefault="00742B1D" w:rsidP="00742B1D">
      <w:pPr>
        <w:numPr>
          <w:ilvl w:val="0"/>
          <w:numId w:val="2"/>
        </w:numPr>
        <w:ind w:left="567" w:right="71" w:firstLine="0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>Pénzügyi, állami pályázati támogatással,</w:t>
      </w:r>
    </w:p>
    <w:p w:rsidR="00742B1D" w:rsidRDefault="00742B1D" w:rsidP="00742B1D">
      <w:pPr>
        <w:numPr>
          <w:ilvl w:val="0"/>
          <w:numId w:val="2"/>
        </w:numPr>
        <w:ind w:left="567" w:right="71" w:firstLine="0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>Pénzügyi, állami pályázati támogatás nélkül,</w:t>
      </w:r>
    </w:p>
    <w:p w:rsidR="00742B1D" w:rsidRDefault="00742B1D" w:rsidP="00742B1D">
      <w:pPr>
        <w:numPr>
          <w:ilvl w:val="0"/>
          <w:numId w:val="2"/>
        </w:numPr>
        <w:ind w:left="567" w:right="71" w:firstLine="0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>Áramszolgáltatói alternatívák (szerződés jogi keretrendszer)</w:t>
      </w:r>
    </w:p>
    <w:p w:rsidR="00742B1D" w:rsidRDefault="00742B1D" w:rsidP="00742B1D">
      <w:pPr>
        <w:numPr>
          <w:ilvl w:val="0"/>
          <w:numId w:val="2"/>
        </w:numPr>
        <w:ind w:left="567" w:right="71" w:firstLine="0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 xml:space="preserve">Állami jogszabályi háttérváltozások </w:t>
      </w:r>
    </w:p>
    <w:p w:rsidR="00742B1D" w:rsidRDefault="00742B1D" w:rsidP="00742B1D">
      <w:pPr>
        <w:numPr>
          <w:ilvl w:val="0"/>
          <w:numId w:val="2"/>
        </w:numPr>
        <w:ind w:left="567" w:right="71" w:firstLine="0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>BKV Zrt számára történő pénzügyi megtérülés</w:t>
      </w:r>
    </w:p>
    <w:p w:rsidR="00742B1D" w:rsidRDefault="00742B1D" w:rsidP="00742B1D">
      <w:pPr>
        <w:ind w:left="426" w:right="71"/>
        <w:jc w:val="both"/>
        <w:rPr>
          <w:rFonts w:ascii="Garamond" w:hAnsi="Garamond"/>
          <w:lang w:eastAsia="ru-RU"/>
        </w:rPr>
      </w:pPr>
    </w:p>
    <w:p w:rsidR="00742B1D" w:rsidRDefault="00742B1D" w:rsidP="00742B1D">
      <w:pPr>
        <w:ind w:right="71"/>
        <w:jc w:val="both"/>
        <w:rPr>
          <w:rFonts w:ascii="Garamond" w:hAnsi="Garamond"/>
          <w:lang w:eastAsia="ru-RU"/>
        </w:rPr>
      </w:pPr>
      <w:r>
        <w:rPr>
          <w:rFonts w:ascii="Garamond" w:hAnsi="Garamond"/>
          <w:lang w:eastAsia="ru-RU"/>
        </w:rPr>
        <w:t xml:space="preserve">A Tervezőnek Pályázati dokumentáció előállításához szükséges adatokat, iratokat biztosítania kell. Az elkészült alternatívákból a Megrendelő választása után kell maximum 3db tervet áramszolgáltatói engedélyezésre beadnia a Tervezőnek. Az áramszolgáltatói engedélyeztetés ideje nem számít bele a 60 napba, esetleges díjait a Megrendelő fizeti. A teljesítés 60 napjába az adatok beszerzése, esetleges mérések, villamos és építész tervek készítése/javítása, leadása, megtérülési számítások/indoklások tartoznak. A Megrendelői </w:t>
      </w:r>
      <w:proofErr w:type="spellStart"/>
      <w:r>
        <w:rPr>
          <w:rFonts w:ascii="Garamond" w:hAnsi="Garamond"/>
          <w:lang w:eastAsia="ru-RU"/>
        </w:rPr>
        <w:t>tervzsűri</w:t>
      </w:r>
      <w:proofErr w:type="spellEnd"/>
      <w:r>
        <w:rPr>
          <w:rFonts w:ascii="Garamond" w:hAnsi="Garamond"/>
          <w:lang w:eastAsia="ru-RU"/>
        </w:rPr>
        <w:t xml:space="preserve"> időtartama nem számít bele a teljesítés időtartamába.</w:t>
      </w:r>
    </w:p>
    <w:p w:rsidR="00742B1D" w:rsidRDefault="00742B1D" w:rsidP="00742B1D">
      <w:pPr>
        <w:ind w:left="426" w:right="71"/>
        <w:jc w:val="both"/>
        <w:rPr>
          <w:rFonts w:ascii="Garamond" w:hAnsi="Garamond"/>
          <w:lang w:eastAsia="ru-RU"/>
        </w:rPr>
      </w:pPr>
    </w:p>
    <w:tbl>
      <w:tblPr>
        <w:tblW w:w="95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050"/>
        <w:gridCol w:w="1843"/>
        <w:gridCol w:w="1984"/>
        <w:gridCol w:w="1701"/>
      </w:tblGrid>
      <w:tr w:rsidR="00742B1D" w:rsidTr="00742B1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2B1D" w:rsidRDefault="00742B1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0,4 kV-on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2B1D" w:rsidRDefault="00742B1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Székház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000000"/>
              </w:rPr>
              <w:t>Cinkota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Hungária</w:t>
            </w:r>
          </w:p>
        </w:tc>
      </w:tr>
      <w:tr w:rsidR="00742B1D" w:rsidTr="00742B1D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kWh/nap</w:t>
            </w:r>
          </w:p>
        </w:tc>
        <w:tc>
          <w:tcPr>
            <w:tcW w:w="1843" w:type="dxa"/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3 681,21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6 627,86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1 341,86</w:t>
            </w:r>
          </w:p>
        </w:tc>
      </w:tr>
      <w:tr w:rsidR="00742B1D" w:rsidTr="00742B1D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Mért fogyasztott mennyiség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kWh/hó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111 970,27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201 597,32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40 814,82</w:t>
            </w:r>
          </w:p>
        </w:tc>
      </w:tr>
      <w:tr w:rsidR="00742B1D" w:rsidTr="00742B1D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kWh/év</w:t>
            </w:r>
          </w:p>
        </w:tc>
        <w:tc>
          <w:tcPr>
            <w:tcW w:w="1843" w:type="dxa"/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1 343 643,21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2 419 167,86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489 777,86</w:t>
            </w:r>
          </w:p>
        </w:tc>
      </w:tr>
      <w:tr w:rsidR="00742B1D" w:rsidTr="00742B1D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Minimális telj.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</w:t>
            </w:r>
          </w:p>
        </w:tc>
      </w:tr>
      <w:tr w:rsidR="00742B1D" w:rsidTr="00742B1D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Csúcs telj.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B1D" w:rsidRDefault="00742B1D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</w:t>
            </w:r>
          </w:p>
        </w:tc>
      </w:tr>
    </w:tbl>
    <w:p w:rsidR="00742B1D" w:rsidRDefault="00742B1D" w:rsidP="00742B1D">
      <w:pPr>
        <w:ind w:left="426" w:right="71"/>
        <w:jc w:val="both"/>
        <w:rPr>
          <w:rFonts w:ascii="Garamond" w:hAnsi="Garamond"/>
          <w:lang w:eastAsia="ru-RU"/>
        </w:rPr>
      </w:pPr>
    </w:p>
    <w:p w:rsidR="00C022FD" w:rsidRDefault="00742B1D" w:rsidP="00742B1D">
      <w:r>
        <w:rPr>
          <w:rFonts w:ascii="Garamond" w:hAnsi="Garamond"/>
          <w:lang w:eastAsia="ru-RU"/>
        </w:rPr>
        <w:t>A székház üzemi ellátása saját tulajdonú 10kV/0,4kV transzformátorról történik (10kV-on egyéb saját fogyasztóink vannak), a többi 0,4kV-os vételezési ponton</w:t>
      </w:r>
    </w:p>
    <w:sectPr w:rsidR="00C02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3" w:rsidRDefault="005C3D43" w:rsidP="00742B1D">
      <w:r>
        <w:separator/>
      </w:r>
    </w:p>
  </w:endnote>
  <w:endnote w:type="continuationSeparator" w:id="0">
    <w:p w:rsidR="005C3D43" w:rsidRDefault="005C3D43" w:rsidP="0074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A5" w:rsidRDefault="000D3F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A5" w:rsidRDefault="000D3FA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A5" w:rsidRDefault="000D3F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3" w:rsidRDefault="005C3D43" w:rsidP="00742B1D">
      <w:r>
        <w:separator/>
      </w:r>
    </w:p>
  </w:footnote>
  <w:footnote w:type="continuationSeparator" w:id="0">
    <w:p w:rsidR="005C3D43" w:rsidRDefault="005C3D43" w:rsidP="0074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A5" w:rsidRDefault="000D3F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1D" w:rsidRPr="00742B1D" w:rsidRDefault="00742B1D" w:rsidP="00742B1D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  <w:lang w:eastAsia="ru-RU"/>
      </w:rPr>
    </w:pPr>
    <w:r w:rsidRPr="00742B1D">
      <w:rPr>
        <w:noProof/>
        <w:szCs w:val="20"/>
      </w:rPr>
      <w:drawing>
        <wp:inline distT="0" distB="0" distL="0" distR="0" wp14:anchorId="0BB76D4F" wp14:editId="16E9147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2B1D">
      <w:rPr>
        <w:szCs w:val="20"/>
        <w:lang w:eastAsia="ru-RU"/>
      </w:rPr>
      <w:tab/>
    </w:r>
    <w:r w:rsidRPr="00742B1D">
      <w:rPr>
        <w:szCs w:val="20"/>
        <w:lang w:eastAsia="ru-RU"/>
      </w:rPr>
      <w:tab/>
    </w:r>
    <w:r w:rsidRPr="00742B1D">
      <w:rPr>
        <w:rFonts w:asciiTheme="minorHAnsi" w:hAnsiTheme="minorHAnsi"/>
        <w:sz w:val="22"/>
        <w:szCs w:val="22"/>
        <w:lang w:eastAsia="ru-RU"/>
      </w:rPr>
      <w:t>Ajánlati felhívás</w:t>
    </w:r>
  </w:p>
  <w:p w:rsidR="00742B1D" w:rsidRPr="00742B1D" w:rsidRDefault="00742B1D" w:rsidP="00742B1D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  <w:lang w:eastAsia="ru-RU"/>
      </w:rPr>
    </w:pPr>
    <w:r>
      <w:rPr>
        <w:rFonts w:asciiTheme="minorHAnsi" w:hAnsiTheme="minorHAnsi"/>
        <w:sz w:val="22"/>
        <w:szCs w:val="22"/>
        <w:lang w:eastAsia="ru-RU"/>
      </w:rPr>
      <w:tab/>
    </w:r>
    <w:r>
      <w:rPr>
        <w:rFonts w:asciiTheme="minorHAnsi" w:hAnsiTheme="minorHAnsi"/>
        <w:sz w:val="22"/>
        <w:szCs w:val="22"/>
        <w:lang w:eastAsia="ru-RU"/>
      </w:rPr>
      <w:tab/>
    </w:r>
    <w:r w:rsidRPr="00742B1D">
      <w:rPr>
        <w:rFonts w:asciiTheme="minorHAnsi" w:hAnsiTheme="minorHAnsi"/>
        <w:sz w:val="22"/>
        <w:szCs w:val="22"/>
        <w:lang w:eastAsia="ru-RU"/>
      </w:rPr>
      <w:t>BKV Zrt. VB-150/17.</w:t>
    </w:r>
  </w:p>
  <w:p w:rsidR="00742B1D" w:rsidRPr="00742B1D" w:rsidRDefault="00742B1D" w:rsidP="00742B1D">
    <w:pPr>
      <w:pStyle w:val="lfej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A5" w:rsidRDefault="000D3F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8B8"/>
    <w:multiLevelType w:val="hybridMultilevel"/>
    <w:tmpl w:val="FCF8487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4A4563"/>
    <w:multiLevelType w:val="hybridMultilevel"/>
    <w:tmpl w:val="66E6F94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D"/>
    <w:rsid w:val="000D3FA5"/>
    <w:rsid w:val="005C3D43"/>
    <w:rsid w:val="005E0C31"/>
    <w:rsid w:val="00742B1D"/>
    <w:rsid w:val="00C0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2B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2B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2B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B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B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B1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2B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2B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2B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B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B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B1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2017-10-18T08:57:00Z</dcterms:created>
  <dcterms:modified xsi:type="dcterms:W3CDTF">2017-10-18T08:57:00Z</dcterms:modified>
</cp:coreProperties>
</file>