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0" w:rsidRPr="005876A0" w:rsidRDefault="00BD6B40" w:rsidP="00BD6B40">
      <w:pPr>
        <w:spacing w:before="240" w:after="0" w:line="240" w:lineRule="auto"/>
        <w:ind w:left="539" w:hanging="539"/>
        <w:jc w:val="right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>9. sz. melléklet</w:t>
      </w:r>
    </w:p>
    <w:p w:rsidR="001951BC" w:rsidRPr="005876A0" w:rsidRDefault="001951BC" w:rsidP="001951BC">
      <w:pPr>
        <w:spacing w:before="240" w:after="0" w:line="240" w:lineRule="auto"/>
        <w:ind w:left="539" w:hanging="539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                         Metró teherszállító járművek főjavítása, fővizsgája</w:t>
      </w:r>
    </w:p>
    <w:p w:rsidR="001951BC" w:rsidRPr="005876A0" w:rsidRDefault="001951BC" w:rsidP="001951BC">
      <w:pPr>
        <w:spacing w:after="0" w:line="240" w:lineRule="auto"/>
        <w:ind w:right="71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          </w:t>
      </w:r>
    </w:p>
    <w:p w:rsidR="001951BC" w:rsidRPr="005876A0" w:rsidRDefault="001951BC" w:rsidP="001951BC">
      <w:pPr>
        <w:spacing w:after="0" w:line="240" w:lineRule="auto"/>
        <w:ind w:right="71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proofErr w:type="gramStart"/>
      <w:r w:rsidRPr="005876A0">
        <w:rPr>
          <w:rFonts w:eastAsia="Times New Roman" w:cstheme="minorHAnsi"/>
          <w:b/>
          <w:sz w:val="24"/>
          <w:szCs w:val="24"/>
          <w:lang w:eastAsia="hu-HU"/>
        </w:rPr>
        <w:t>073  pályaszámú</w:t>
      </w:r>
      <w:proofErr w:type="gramEnd"/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TVG főjavítása és fővizsgája,</w:t>
      </w:r>
    </w:p>
    <w:p w:rsidR="001951BC" w:rsidRPr="005876A0" w:rsidRDefault="001951BC" w:rsidP="001951BC">
      <w:pPr>
        <w:spacing w:after="0" w:line="240" w:lineRule="auto"/>
        <w:ind w:right="71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proofErr w:type="gramStart"/>
      <w:r w:rsidRPr="005876A0">
        <w:rPr>
          <w:rFonts w:eastAsia="Times New Roman" w:cstheme="minorHAnsi"/>
          <w:b/>
          <w:sz w:val="24"/>
          <w:szCs w:val="24"/>
          <w:lang w:eastAsia="hu-HU"/>
        </w:rPr>
        <w:t>064  pályaszámú</w:t>
      </w:r>
      <w:proofErr w:type="gramEnd"/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alacsony oldalfalú vasúti  kocsi főjavítása és fővizsgája</w:t>
      </w:r>
    </w:p>
    <w:p w:rsidR="001951BC" w:rsidRPr="005876A0" w:rsidRDefault="001951BC" w:rsidP="001951BC">
      <w:pPr>
        <w:spacing w:before="240" w:after="0" w:line="240" w:lineRule="auto"/>
        <w:ind w:left="539" w:hanging="539"/>
        <w:rPr>
          <w:rFonts w:eastAsia="Times New Roman" w:cstheme="minorHAnsi"/>
          <w:b/>
          <w:sz w:val="24"/>
          <w:szCs w:val="24"/>
          <w:lang w:eastAsia="hu-HU"/>
        </w:rPr>
      </w:pPr>
    </w:p>
    <w:p w:rsidR="001951BC" w:rsidRPr="005876A0" w:rsidRDefault="001951BC" w:rsidP="001951BC">
      <w:pPr>
        <w:spacing w:before="240" w:after="0" w:line="240" w:lineRule="auto"/>
        <w:ind w:left="539" w:hanging="539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 xml:space="preserve">                                                …   Műszaki követelmények </w:t>
      </w:r>
    </w:p>
    <w:p w:rsidR="001951BC" w:rsidRPr="005876A0" w:rsidRDefault="001951BC" w:rsidP="001951BC">
      <w:pPr>
        <w:spacing w:before="240" w:after="0" w:line="240" w:lineRule="auto"/>
        <w:ind w:left="539" w:hanging="539"/>
        <w:rPr>
          <w:rFonts w:eastAsia="Times New Roman" w:cstheme="minorHAnsi"/>
          <w:b/>
          <w:sz w:val="24"/>
          <w:szCs w:val="24"/>
          <w:lang w:eastAsia="hu-HU"/>
        </w:rPr>
      </w:pPr>
    </w:p>
    <w:p w:rsidR="001951BC" w:rsidRDefault="001951BC" w:rsidP="005876A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vontatójármű főjavítását (073 </w:t>
      </w:r>
      <w:proofErr w:type="spellStart"/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psz</w:t>
      </w:r>
      <w:proofErr w:type="spellEnd"/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. TVG)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az alábbi TVG nagyjavítási kerettechnológia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alapján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, a vontatott jármű (064 </w:t>
      </w:r>
      <w:proofErr w:type="spellStart"/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psz</w:t>
      </w:r>
      <w:proofErr w:type="spellEnd"/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. kocsi) főjavítását a vontatott járművekre vonatkozó leírás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szerint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kell elvégezni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, 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figyelemmel 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a MÁV vonatkozó javítási és karbantartási utasításaiban foglaltak</w:t>
      </w:r>
      <w:r w:rsidR="00BD6B40" w:rsidRPr="005876A0">
        <w:rPr>
          <w:rFonts w:eastAsia="Times New Roman" w:cstheme="minorHAnsi"/>
          <w:b/>
          <w:bCs/>
          <w:sz w:val="24"/>
          <w:szCs w:val="24"/>
          <w:lang w:eastAsia="hu-HU"/>
        </w:rPr>
        <w:t>ra</w:t>
      </w: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. </w:t>
      </w:r>
    </w:p>
    <w:p w:rsidR="001951BC" w:rsidRPr="005876A0" w:rsidRDefault="001951BC" w:rsidP="001951BC">
      <w:pPr>
        <w:spacing w:after="0" w:line="240" w:lineRule="auto"/>
        <w:ind w:right="7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TVG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nh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sorozatú vontatásra és személyszállításra alkalmas jármű főbb adatai:</w:t>
      </w:r>
      <w:r w:rsidRPr="005876A0">
        <w:rPr>
          <w:rFonts w:eastAsia="Times New Roman" w:cstheme="minorHAnsi"/>
          <w:sz w:val="24"/>
          <w:szCs w:val="24"/>
          <w:u w:val="single"/>
          <w:lang w:eastAsia="hu-HU"/>
        </w:rPr>
        <w:t xml:space="preserve">   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 Jármű: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tömeg :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7 600- 10 000kg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  Tengelyek száma: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2 db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 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Tengelytávolság :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3ﾠ20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3 200 mm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                             Kerékátmérő:         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60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600 mm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  Bejárható legkisebb ívsugár: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60 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60 m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  Megengedett sebesség: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60 km/h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60 km/h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                           Vontatható tömeg: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30 t /072-32 t/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 Motor: típus: 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Deutz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BF 4M </w:t>
      </w:r>
      <w:smartTag w:uri="urn:schemas-microsoft-com:office:smarttags" w:element="metricconverter">
        <w:smartTagPr>
          <w:attr w:name="ProductID" w:val="1013 C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1013 C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  / 072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Zetor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MD—UR IV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/ ,IFA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W60L/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 Hengerelrendezés:  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álló- soros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                   Hűtés:                    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szivattyús, folyadék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 Hőfokszabályozás:  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termosztáttal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Névleges teljesítmény: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 xml:space="preserve">115 </w:t>
      </w:r>
      <w:proofErr w:type="spellStart"/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kw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 /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072-130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kw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; 074, 075- 58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kw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/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 xml:space="preserve"> 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2832" w:hanging="2832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 Erőátvitel: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 xml:space="preserve">F&amp;S MF 395 tengelykapcsoló-ZF S6-36/2 sebességváltó-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irányváltó-tengelyhajtómű</w:t>
      </w:r>
      <w:r w:rsidR="000F67FB">
        <w:rPr>
          <w:rFonts w:eastAsia="Times New Roman" w:cstheme="minorHAnsi"/>
          <w:sz w:val="24"/>
          <w:szCs w:val="24"/>
          <w:lang w:eastAsia="hu-HU"/>
        </w:rPr>
        <w:t xml:space="preserve"> ,</w:t>
      </w:r>
      <w:proofErr w:type="gramEnd"/>
      <w:r w:rsidR="000F67F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F67FB">
        <w:rPr>
          <w:rFonts w:eastAsia="Times New Roman" w:cstheme="minorHAnsi"/>
          <w:sz w:val="24"/>
          <w:szCs w:val="24"/>
          <w:lang w:eastAsia="hu-HU"/>
        </w:rPr>
        <w:t>TrigonSG</w:t>
      </w:r>
      <w:proofErr w:type="spellEnd"/>
      <w:r w:rsidR="000F67F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F67FB">
        <w:rPr>
          <w:rFonts w:eastAsia="Times New Roman" w:cstheme="minorHAnsi"/>
          <w:sz w:val="24"/>
          <w:szCs w:val="24"/>
          <w:lang w:eastAsia="hu-HU"/>
        </w:rPr>
        <w:t>elektro-pneumatikus</w:t>
      </w:r>
      <w:proofErr w:type="spellEnd"/>
      <w:r w:rsidR="000F67FB">
        <w:rPr>
          <w:rFonts w:eastAsia="Times New Roman" w:cstheme="minorHAnsi"/>
          <w:sz w:val="24"/>
          <w:szCs w:val="24"/>
          <w:lang w:eastAsia="hu-HU"/>
        </w:rPr>
        <w:t xml:space="preserve"> félautomata váltóval !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 Elektromos rendszer: 24 v egyenáram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 Fűtés:   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Vebasto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AIR TOP 5 000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 Ütköző:    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külső tekercsrugós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 Vonókészülék: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csavarkapocs ;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Ringfeder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félautomata, vonófészek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 Fékberendezés: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légfék- közvetlen és átmenő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2832" w:hanging="2832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 Üzemi: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 xml:space="preserve">önműködő direkt; kiegészítő: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rözítő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légfék !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;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>rögzítő: mechanikus csavarorsós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2832" w:hanging="2832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2832" w:hanging="2832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 A 073 TVG kisfülkés 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 Jellemző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hibái :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>   -    irányváltó elektronikus hibái</w:t>
      </w:r>
    </w:p>
    <w:p w:rsidR="001951BC" w:rsidRPr="005876A0" w:rsidRDefault="001951BC" w:rsidP="001951BC">
      <w:pPr>
        <w:numPr>
          <w:ilvl w:val="0"/>
          <w:numId w:val="7"/>
        </w:num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tengelyhajtómű hajtásházában kúpkerék kopás</w:t>
      </w:r>
    </w:p>
    <w:p w:rsidR="001951BC" w:rsidRPr="005876A0" w:rsidRDefault="001951BC" w:rsidP="001951BC">
      <w:pPr>
        <w:numPr>
          <w:ilvl w:val="0"/>
          <w:numId w:val="7"/>
        </w:num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levegő rendszer / szelepek / </w:t>
      </w:r>
      <w:r w:rsidR="0050269D" w:rsidRPr="005876A0">
        <w:rPr>
          <w:rFonts w:eastAsia="Times New Roman" w:cstheme="minorHAnsi"/>
          <w:sz w:val="24"/>
          <w:szCs w:val="24"/>
          <w:lang w:eastAsia="hu-HU"/>
        </w:rPr>
        <w:t>meghibásodás</w:t>
      </w:r>
      <w:r w:rsidR="0050269D">
        <w:rPr>
          <w:rFonts w:eastAsia="Times New Roman" w:cstheme="minorHAnsi"/>
          <w:sz w:val="24"/>
          <w:szCs w:val="24"/>
          <w:lang w:eastAsia="hu-HU"/>
        </w:rPr>
        <w:t>ai</w:t>
      </w:r>
    </w:p>
    <w:p w:rsidR="001951BC" w:rsidRPr="005876A0" w:rsidRDefault="001951BC" w:rsidP="001951BC">
      <w:pPr>
        <w:numPr>
          <w:ilvl w:val="0"/>
          <w:numId w:val="7"/>
        </w:num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fűtőmotor meghibásodásai</w:t>
      </w:r>
    </w:p>
    <w:p w:rsidR="001951BC" w:rsidRPr="005876A0" w:rsidRDefault="001951BC" w:rsidP="001951BC">
      <w:pPr>
        <w:numPr>
          <w:ilvl w:val="0"/>
          <w:numId w:val="7"/>
        </w:num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Trigon</w:t>
      </w:r>
      <w:proofErr w:type="spellEnd"/>
      <w:r w:rsidR="000F67FB">
        <w:rPr>
          <w:rFonts w:eastAsia="Times New Roman" w:cstheme="minorHAnsi"/>
          <w:sz w:val="24"/>
          <w:szCs w:val="24"/>
          <w:lang w:eastAsia="hu-HU"/>
        </w:rPr>
        <w:t xml:space="preserve"> SG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félautomata seb. váltó </w:t>
      </w:r>
      <w:r w:rsidR="000F67FB">
        <w:rPr>
          <w:rFonts w:eastAsia="Times New Roman" w:cstheme="minorHAnsi"/>
          <w:sz w:val="24"/>
          <w:szCs w:val="24"/>
          <w:lang w:eastAsia="hu-HU"/>
        </w:rPr>
        <w:t xml:space="preserve">gyakori </w:t>
      </w:r>
      <w:r w:rsidRPr="005876A0">
        <w:rPr>
          <w:rFonts w:eastAsia="Times New Roman" w:cstheme="minorHAnsi"/>
          <w:sz w:val="24"/>
          <w:szCs w:val="24"/>
          <w:lang w:eastAsia="hu-HU"/>
        </w:rPr>
        <w:t>meghibásodásai</w:t>
      </w:r>
    </w:p>
    <w:p w:rsidR="001951BC" w:rsidRDefault="001951BC" w:rsidP="001951BC">
      <w:pPr>
        <w:numPr>
          <w:ilvl w:val="0"/>
          <w:numId w:val="7"/>
        </w:num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Motor teljesítménygyengülés</w:t>
      </w:r>
    </w:p>
    <w:p w:rsidR="000F67FB" w:rsidRDefault="000F67FB" w:rsidP="005876A0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0F67FB" w:rsidRDefault="000F67FB" w:rsidP="005876A0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0F67FB" w:rsidRDefault="000F67FB" w:rsidP="005876A0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0F67FB" w:rsidRPr="005876A0" w:rsidRDefault="000F67FB" w:rsidP="005876A0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color w:val="548DD4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color w:val="548DD4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TVG nagyjavítási kerettechnológia</w:t>
      </w:r>
    </w:p>
    <w:p w:rsidR="001951BC" w:rsidRPr="005876A0" w:rsidRDefault="001951BC" w:rsidP="001951B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numPr>
          <w:ilvl w:val="12"/>
          <w:numId w:val="0"/>
        </w:numPr>
        <w:tabs>
          <w:tab w:val="left" w:pos="230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nagyjavítás olyan munkafolyamat, amely biztosítja a következő nagyjavításig az üzemképes állapotot az előirányzott közbenső karbantartási műveletek betartása esetén.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technológia a teher-vágánygépkocsik (TVG) nagyjavítás szétszerelési, javítási, összeszerelési és ellenőrzési előírásait tartalmazza.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TVG nagyjavítása felújított fődarabokkal történik, ezért a technológia a következő fődarabok felújítási technológiáját nem tartalmazza: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Dízelmotor</w:t>
      </w:r>
    </w:p>
    <w:p w:rsidR="001951BC" w:rsidRPr="005876A0" w:rsidRDefault="001951BC" w:rsidP="001951B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Sebességváltó</w:t>
      </w:r>
    </w:p>
    <w:p w:rsidR="001951BC" w:rsidRPr="005876A0" w:rsidRDefault="001951BC" w:rsidP="001951B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Irányváltó</w:t>
      </w:r>
    </w:p>
    <w:p w:rsidR="001951BC" w:rsidRPr="005876A0" w:rsidRDefault="001951BC" w:rsidP="001951B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Futómű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Nagyjavítási sorrend: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átvétele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Szétszerelés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fődarabok és alkatrészek mosása, minősítése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alkatrészek és segédberendezések javítása, felújítása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összeszerelése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Próbaüzem, bemérés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utójavítások elvégzése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festése, feliratozása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Hatósági futópróba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futópróbán felmerült hibák kijavítása</w:t>
      </w:r>
    </w:p>
    <w:p w:rsidR="001951BC" w:rsidRPr="005876A0" w:rsidRDefault="001951BC" w:rsidP="001951BC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átadása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TVG fődarabok: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Futómű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>Alváz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Kocsiszekrény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Daruszerkezet (darus járműnél)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Motor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Sebességváltó</w:t>
      </w:r>
    </w:p>
    <w:p w:rsidR="001951BC" w:rsidRPr="005876A0" w:rsidRDefault="001951BC" w:rsidP="001951B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Irányváltó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Segédberendezések: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Fűtési rendszer</w:t>
      </w:r>
    </w:p>
    <w:p w:rsidR="001951BC" w:rsidRPr="005876A0" w:rsidRDefault="001951BC" w:rsidP="001951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Fékberendezés</w:t>
      </w:r>
    </w:p>
    <w:p w:rsidR="001951BC" w:rsidRPr="005876A0" w:rsidRDefault="001951BC" w:rsidP="001951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Sűrített levegő rendszer</w:t>
      </w:r>
    </w:p>
    <w:p w:rsidR="001951BC" w:rsidRPr="005876A0" w:rsidRDefault="001951BC" w:rsidP="001951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Elektromos rendszer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>A nagyjavítás munkafázisainak részletezése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átvétele</w:t>
      </w:r>
    </w:p>
    <w:p w:rsidR="001951BC" w:rsidRPr="005876A0" w:rsidRDefault="001951BC" w:rsidP="009B571C">
      <w:pPr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javítási telephelyre</w:t>
      </w:r>
      <w:r w:rsidR="0050269D" w:rsidRPr="009B571C">
        <w:rPr>
          <w:rFonts w:eastAsia="Times New Roman" w:cstheme="minorHAnsi"/>
          <w:sz w:val="24"/>
          <w:szCs w:val="24"/>
          <w:lang w:eastAsia="hu-HU"/>
        </w:rPr>
        <w:t xml:space="preserve"> történő szállításánál az á</w:t>
      </w:r>
      <w:r w:rsidRPr="005876A0">
        <w:rPr>
          <w:rFonts w:eastAsia="Times New Roman" w:cstheme="minorHAnsi"/>
          <w:sz w:val="24"/>
          <w:szCs w:val="24"/>
          <w:lang w:eastAsia="hu-HU"/>
        </w:rPr>
        <w:t>tvételkor ellenőrizni kell a jármű alkatrészeinek, tartozékainak meglétét.</w:t>
      </w:r>
    </w:p>
    <w:p w:rsidR="001951BC" w:rsidRPr="005876A0" w:rsidRDefault="001951BC" w:rsidP="001951BC">
      <w:pPr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látható, valamint az üzemeltető által feltárt hibákat jegyzőkönyvben kell rögzíteni.</w:t>
      </w:r>
    </w:p>
    <w:p w:rsidR="001951BC" w:rsidRPr="005876A0" w:rsidRDefault="001951BC" w:rsidP="001951BC">
      <w:pPr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járművet alaposan meg kell tisztítani és lemosni.</w:t>
      </w:r>
    </w:p>
    <w:p w:rsidR="001951BC" w:rsidRPr="005876A0" w:rsidRDefault="001951BC" w:rsidP="001951BC">
      <w:pPr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Száradás után a javítóállásra kell állítani és elmozdulás ellen biztosítani.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szétszerelése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Akkumulátor kiszerelése, töltőhelyiségbe szállítása.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Burkolatokat el kell távolítani.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Üzemanyagot, motorolajt, hűtőfolyadékot, hajtóműolajt le kell engedni és a környezet és tűzvédelmi utasítások betartásával gyűjtőedényben tárolni.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villamos alkatrészeket (műszerfal, ablaktörlő, kürt, világítás, kapcsoló dobozok, stb.) ki kell kötni,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pneumatikus alkatrészeket (légsűrítő, nyomásszabályzó, csővezeték, légtartályok, fékező szelepek, kormányszelep, nyomásmérők stb.) le kell szerelni. A légtartályokat, fékező és kormányszelepeket szakműhelyben az előírt vizsgálatoknak kell alávetni. A nyomásmérő órákat hitelesíttetni kell.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kocsiszekrényhez kapcsolódó mechanikus alkatrészeket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kocsiszekrényt, (daruszerkezetet) rögzítő csavarjainak eltávolítása után le kell emelni.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Az üzemanyagtartályt le kell szerelni, nagynyomású,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forróvizes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berendezéssel ki kell mosni.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platós járműveknél az oldalfalak csuklópántjait ki kell szerelni 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rögzítőcsapokat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ki kell akasztani, majd az oldalfalakat le kell emelni.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motor kipufogó rendszerét elemeire szét kell szerelni, majd el kell távolítani.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hűtési rendszer egymáshoz való csatlakozásait oldani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kell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a gumitömlőket el kell távolítani. A hűtőt ki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motor levegőellátó rendszert, légszűrőt, összekötő vezetéket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üzemanyag-ellátó és visszafolyó csöveket el kell távolítani.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kardánok csavarjait oldani kell, a kardánokat ki kell emelni.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sebességváltó csavarjainak oldása után a sebességváltót ki kell emelni.</w:t>
      </w:r>
    </w:p>
    <w:p w:rsidR="001951BC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irányváltó csavarjainak oldása után az irányváltót ki kell emelni.</w:t>
      </w:r>
    </w:p>
    <w:p w:rsidR="000F67FB" w:rsidRPr="005876A0" w:rsidRDefault="000F67FB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sz w:val="24"/>
          <w:szCs w:val="24"/>
          <w:lang w:eastAsia="hu-HU"/>
        </w:rPr>
        <w:t>Trigon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SG félautomata váltó ellenőrzése szakműhely bevonásával, szükség szerinti javítása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elektromos vezetékeket az alvázról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fékrendszer részeit (csapok, rudazatok, hevederek, félmunkahengerek, féktuskótartók,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) ki kell kötni,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rögzítőfék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elemeit (kúpkerék, közvetítő tengely, padozat, csapok)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Kötvasakat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, pályakotrókat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alvázat a futóműről le kell emelni, bakokra helyezni és elmozdulás ellen biztosítani.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laprugók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rögzítőcsavarjainak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eltávolításával a laprugókat le kell szerelni.</w:t>
      </w:r>
    </w:p>
    <w:p w:rsidR="001951BC" w:rsidRPr="005876A0" w:rsidRDefault="001951BC" w:rsidP="001951BC">
      <w:pPr>
        <w:numPr>
          <w:ilvl w:val="0"/>
          <w:numId w:val="12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padozat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rögzítőcsavarjait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oldani kell. A padozatot le kell szerelni.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Fődarabok, segédberendezések és alkatrészek tisztítása, minősítése.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fődarabokat le kell tisztítani, gőzborotvával lemosni.</w:t>
      </w:r>
    </w:p>
    <w:p w:rsidR="001951BC" w:rsidRPr="005876A0" w:rsidRDefault="001951BC" w:rsidP="001951BC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javítandó fődarabokat szét kell szerelni, alkatrészeit meg kell tisztítani és minősíteni.</w:t>
      </w:r>
    </w:p>
    <w:p w:rsidR="001951BC" w:rsidRPr="005876A0" w:rsidRDefault="001951BC" w:rsidP="001951BC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segédberendezéseket jellegüknek megfelelően kell tisztítani, szétszerelni, vizsgálni és minősíteni.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fődarabokat, segédberendezéseket, alkatrészeket a nagyjavítási technológiához csatolt szabványjegyzékben szereplő szabványok előírásai szerint kell minősíteni, az alvázkimérést elvégezni.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fűtőkályha esetében a 100963/93 PHMF. </w:t>
      </w:r>
      <w:r w:rsidR="0050269D">
        <w:rPr>
          <w:rFonts w:eastAsia="Times New Roman" w:cstheme="minorHAnsi"/>
          <w:sz w:val="24"/>
          <w:szCs w:val="24"/>
          <w:lang w:eastAsia="hu-HU"/>
        </w:rPr>
        <w:t>s</w:t>
      </w:r>
      <w:r w:rsidR="0050269D" w:rsidRPr="005876A0">
        <w:rPr>
          <w:rFonts w:eastAsia="Times New Roman" w:cstheme="minorHAnsi"/>
          <w:sz w:val="24"/>
          <w:szCs w:val="24"/>
          <w:lang w:eastAsia="hu-HU"/>
        </w:rPr>
        <w:t>z</w:t>
      </w:r>
      <w:r w:rsidRPr="005876A0">
        <w:rPr>
          <w:rFonts w:eastAsia="Times New Roman" w:cstheme="minorHAnsi"/>
          <w:sz w:val="24"/>
          <w:szCs w:val="24"/>
          <w:lang w:eastAsia="hu-HU"/>
        </w:rPr>
        <w:t>. utasítást be kell tartani.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alkatrészek felújítása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javíthatónak minősített alkatrészeket megfelelő technológiával fel kell újítani.</w:t>
      </w:r>
    </w:p>
    <w:p w:rsidR="001951BC" w:rsidRPr="005876A0" w:rsidRDefault="001951BC" w:rsidP="001951BC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selejtes</w:t>
      </w:r>
      <w:r w:rsidR="009B571C">
        <w:rPr>
          <w:rFonts w:eastAsia="Times New Roman" w:cstheme="minorHAnsi"/>
          <w:sz w:val="24"/>
          <w:szCs w:val="24"/>
          <w:lang w:eastAsia="hu-HU"/>
        </w:rPr>
        <w:t xml:space="preserve">nek </w:t>
      </w:r>
      <w:r w:rsidR="009B571C" w:rsidRPr="00C87E3D">
        <w:rPr>
          <w:rFonts w:eastAsia="Times New Roman" w:cstheme="minorHAnsi"/>
          <w:sz w:val="24"/>
          <w:szCs w:val="24"/>
          <w:lang w:eastAsia="hu-HU"/>
        </w:rPr>
        <w:t>minősített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alkatrészek helyett újakat kell beépíteni.</w:t>
      </w:r>
    </w:p>
    <w:p w:rsidR="001951BC" w:rsidRPr="005876A0" w:rsidRDefault="001951BC" w:rsidP="001951BC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9B571C">
        <w:rPr>
          <w:rFonts w:eastAsia="Times New Roman" w:cstheme="minorHAnsi"/>
          <w:sz w:val="24"/>
          <w:szCs w:val="24"/>
          <w:lang w:eastAsia="hu-HU"/>
        </w:rPr>
        <w:t>meg</w:t>
      </w:r>
      <w:r w:rsidR="009B571C" w:rsidRPr="005876A0">
        <w:rPr>
          <w:rFonts w:eastAsia="Times New Roman" w:cstheme="minorHAnsi"/>
          <w:sz w:val="24"/>
          <w:szCs w:val="24"/>
          <w:lang w:eastAsia="hu-HU"/>
        </w:rPr>
        <w:t xml:space="preserve">javított </w:t>
      </w:r>
      <w:r w:rsidRPr="005876A0">
        <w:rPr>
          <w:rFonts w:eastAsia="Times New Roman" w:cstheme="minorHAnsi"/>
          <w:sz w:val="24"/>
          <w:szCs w:val="24"/>
          <w:lang w:eastAsia="hu-HU"/>
        </w:rPr>
        <w:t>és új alkatrészeket össze kell szerelni, szükség szerint festeni.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Vizsgálat nélkül </w:t>
      </w:r>
      <w:r w:rsidR="009B571C">
        <w:rPr>
          <w:rFonts w:eastAsia="Times New Roman" w:cstheme="minorHAnsi"/>
          <w:sz w:val="24"/>
          <w:szCs w:val="24"/>
          <w:lang w:eastAsia="hu-HU"/>
        </w:rPr>
        <w:t xml:space="preserve">kötelezően </w:t>
      </w:r>
      <w:r w:rsidRPr="005876A0">
        <w:rPr>
          <w:rFonts w:eastAsia="Times New Roman" w:cstheme="minorHAnsi"/>
          <w:sz w:val="24"/>
          <w:szCs w:val="24"/>
          <w:lang w:eastAsia="hu-HU"/>
        </w:rPr>
        <w:t>cserélendő alkatrészek:</w:t>
      </w:r>
    </w:p>
    <w:p w:rsidR="001951BC" w:rsidRPr="005876A0" w:rsidRDefault="001951BC" w:rsidP="001951BC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Féktuskó</w:t>
      </w:r>
    </w:p>
    <w:p w:rsidR="001951BC" w:rsidRPr="005876A0" w:rsidRDefault="001951BC" w:rsidP="001951BC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Légtömlő</w:t>
      </w:r>
    </w:p>
    <w:p w:rsidR="001951BC" w:rsidRPr="005876A0" w:rsidRDefault="001951BC" w:rsidP="001951BC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Elektromos vezetékek</w:t>
      </w:r>
    </w:p>
    <w:p w:rsidR="001951BC" w:rsidRPr="005876A0" w:rsidRDefault="001951BC" w:rsidP="001951BC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Fékező szelepek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>A jármű összeszerelése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6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Visszaszerelés előtt valamennyi fődarabot, segéd berendezést és alkatrészt beépíthetőség, használhatóság és működőképesség szempontjából meg kell vizsgálni. A gépbe csak minősített, jó és működőképes alkatrészek építhetők be.</w:t>
      </w:r>
    </w:p>
    <w:p w:rsidR="001951BC" w:rsidRPr="005876A0" w:rsidRDefault="001951BC" w:rsidP="001951BC">
      <w:pPr>
        <w:numPr>
          <w:ilvl w:val="0"/>
          <w:numId w:val="16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egymáson elmozduló alkatrészeket beépítés előtt meg kell kenni.</w:t>
      </w:r>
    </w:p>
    <w:p w:rsidR="001951BC" w:rsidRPr="005876A0" w:rsidRDefault="001951BC" w:rsidP="001951BC">
      <w:pPr>
        <w:numPr>
          <w:ilvl w:val="0"/>
          <w:numId w:val="16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járművet összeszerelése során üzemanyaggal, kenőolajokkal, hűtőfolyadékkal stb. az előírt mennyiségeknek megfelelően fel kell tölteni.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Próbaüzem, vizsgálat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El kell végezni 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TVG-be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épített egységek (elektromos, levegős, mechanikus) teljes működési próbáját.</w:t>
      </w: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Ellenőrizni kell a fékrendszer tömörségé</w:t>
      </w:r>
      <w:r w:rsidR="009B571C">
        <w:rPr>
          <w:rFonts w:eastAsia="Times New Roman" w:cstheme="minorHAnsi"/>
          <w:sz w:val="24"/>
          <w:szCs w:val="24"/>
          <w:lang w:eastAsia="hu-HU"/>
        </w:rPr>
        <w:t>nek megfelelőségé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t, az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állvatartási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fékszázalékot.</w:t>
      </w: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Ellenőrizni kell a gép tartozékainak meglétét.</w:t>
      </w: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 kell végezni a gép mérlegelését.</w:t>
      </w: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daru terhelési próbáját el kell végezni.</w:t>
      </w:r>
    </w:p>
    <w:p w:rsidR="001951BC" w:rsidRPr="005876A0" w:rsidRDefault="001951BC" w:rsidP="001951BC">
      <w:pPr>
        <w:numPr>
          <w:ilvl w:val="0"/>
          <w:numId w:val="17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járművel „házi” futópróbát kell tartani.</w:t>
      </w:r>
    </w:p>
    <w:p w:rsidR="001951BC" w:rsidRPr="005876A0" w:rsidRDefault="001951BC" w:rsidP="001951BC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7.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Utójavítások elvégzése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próbaüzem és a vizsgálatok során feltárt hibákat ki kell javítani, a hiányosságokat pedig pótolni kell.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jármű teljes festése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elő kell készíteni a teljes festésre (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rozsdátlanításra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)</w:t>
      </w:r>
    </w:p>
    <w:p w:rsidR="001951BC" w:rsidRPr="005876A0" w:rsidRDefault="001951BC" w:rsidP="001951BC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Alapozás száradása után 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bordó két réteg festékkel kell lefesteni.</w:t>
      </w:r>
    </w:p>
    <w:p w:rsidR="001951BC" w:rsidRPr="005876A0" w:rsidRDefault="001951BC" w:rsidP="001951BC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 kell készíteni a szabványnak megfelelő feliratozást.</w:t>
      </w:r>
    </w:p>
    <w:p w:rsidR="001951BC" w:rsidRPr="005876A0" w:rsidRDefault="001951BC" w:rsidP="001951BC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belső festést és a szabványnak megfelelő feliratozást el kell végezni.</w:t>
      </w:r>
    </w:p>
    <w:p w:rsidR="001951BC" w:rsidRPr="005876A0" w:rsidRDefault="001951BC" w:rsidP="001951BC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festést követően a belső kárpitokat és burkolatokat vissza kell építeni.</w:t>
      </w:r>
    </w:p>
    <w:p w:rsidR="001951BC" w:rsidRPr="005876A0" w:rsidRDefault="001951BC" w:rsidP="005876A0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külső festés UV sugárzás- és korrózióálló festékkel történik. Színe a Metró Pályafenntartási Szolgálatnál használatos bordó / RAL 3005 /. A külső festésnél </w:t>
      </w:r>
      <w:smartTag w:uri="urn:schemas-microsoft-com:office:smarttags" w:element="metricconverter">
        <w:smartTagPr>
          <w:attr w:name="ProductID" w:val="15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150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széles sárga színű / RAL 1028 /sáv osztja ketté a bordó színezést az alábbi módon: a sáv alsó széle az alváz élétől számított </w:t>
      </w:r>
      <w:smartTag w:uri="urn:schemas-microsoft-com:office:smarttags" w:element="metricconverter">
        <w:smartTagPr>
          <w:attr w:name="ProductID" w:val="80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800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magasságtól kezdődik. Az alváz síkja feletti korlátok, kapaszkodók szürke / RAL 7035 / színűek.</w:t>
      </w:r>
    </w:p>
    <w:p w:rsidR="001951BC" w:rsidRDefault="001951BC" w:rsidP="005876A0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feliratozás a MÁV és a BKV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előírásai szerint fehér / RAL 9018 / színű.</w:t>
      </w:r>
    </w:p>
    <w:p w:rsidR="00AB68F0" w:rsidRPr="005876A0" w:rsidRDefault="00AB68F0" w:rsidP="005876A0">
      <w:pPr>
        <w:tabs>
          <w:tab w:val="num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Álló- és Futópróba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TVG-vel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az üzemeltető és </w:t>
      </w:r>
      <w:r w:rsidR="00AB68F0">
        <w:rPr>
          <w:rFonts w:eastAsia="Times New Roman" w:cstheme="minorHAnsi"/>
          <w:sz w:val="24"/>
          <w:szCs w:val="24"/>
          <w:lang w:eastAsia="hu-HU"/>
        </w:rPr>
        <w:t>a vállalkozó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képviselő</w:t>
      </w:r>
      <w:r w:rsidR="00AB68F0">
        <w:rPr>
          <w:rFonts w:eastAsia="Times New Roman" w:cstheme="minorHAnsi"/>
          <w:sz w:val="24"/>
          <w:szCs w:val="24"/>
          <w:lang w:eastAsia="hu-HU"/>
        </w:rPr>
        <w:t>inek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jelenété</w:t>
      </w:r>
      <w:r w:rsidR="00AB68F0">
        <w:rPr>
          <w:rFonts w:eastAsia="Times New Roman" w:cstheme="minorHAnsi"/>
          <w:sz w:val="24"/>
          <w:szCs w:val="24"/>
          <w:lang w:eastAsia="hu-HU"/>
        </w:rPr>
        <w:t>ben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az előírásnak megfelelően futópróbát kell tartani.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AB68F0" w:rsidP="001951B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lastRenderedPageBreak/>
        <w:t>Vissza</w:t>
      </w:r>
      <w:r w:rsidRPr="005876A0">
        <w:rPr>
          <w:rFonts w:eastAsia="Times New Roman" w:cstheme="minorHAnsi"/>
          <w:sz w:val="24"/>
          <w:szCs w:val="24"/>
          <w:lang w:eastAsia="hu-HU"/>
        </w:rPr>
        <w:t>javítás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futópróbán esetleg felmerült hibákat ki kell javítani, a hiányosságokat pedig pótolni kell.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gép átadása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átadáskor ellenőrizni kell a tartozékok, biztonsági berendezések meglétét és azok működőképességét.</w:t>
      </w:r>
    </w:p>
    <w:p w:rsidR="001951BC" w:rsidRPr="005876A0" w:rsidRDefault="00AB68F0" w:rsidP="001951BC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Ellenőrizni kell a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951BC" w:rsidRPr="005876A0">
        <w:rPr>
          <w:rFonts w:eastAsia="Times New Roman" w:cstheme="minorHAnsi"/>
          <w:sz w:val="24"/>
          <w:szCs w:val="24"/>
          <w:lang w:eastAsia="hu-HU"/>
        </w:rPr>
        <w:t>nagyjavítás megtörténtét, a fődarabok cseréjét be kell jegyezni a gépkönyvbe.</w:t>
      </w:r>
    </w:p>
    <w:p w:rsidR="001951BC" w:rsidRPr="005876A0" w:rsidRDefault="001951BC" w:rsidP="001951BC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Átadáskor a különböző dokumentációkat (műbizonylatok, vizsgálati jegyzőkönyveket, minősítő iratokat stb.) át kell adni a</w:t>
      </w:r>
      <w:r w:rsidR="00AB68F0">
        <w:rPr>
          <w:rFonts w:eastAsia="Times New Roman" w:cstheme="minorHAnsi"/>
          <w:sz w:val="24"/>
          <w:szCs w:val="24"/>
          <w:lang w:eastAsia="hu-HU"/>
        </w:rPr>
        <w:t>z</w:t>
      </w:r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68F0">
        <w:rPr>
          <w:rFonts w:eastAsia="Times New Roman" w:cstheme="minorHAnsi"/>
          <w:sz w:val="24"/>
          <w:szCs w:val="24"/>
          <w:lang w:eastAsia="hu-HU"/>
        </w:rPr>
        <w:t>üzemeltet</w:t>
      </w:r>
      <w:r w:rsidR="00AB68F0" w:rsidRPr="005876A0">
        <w:rPr>
          <w:rFonts w:eastAsia="Times New Roman" w:cstheme="minorHAnsi"/>
          <w:sz w:val="24"/>
          <w:szCs w:val="24"/>
          <w:lang w:eastAsia="hu-HU"/>
        </w:rPr>
        <w:t xml:space="preserve">őnek </w:t>
      </w:r>
      <w:r w:rsidRPr="005876A0">
        <w:rPr>
          <w:rFonts w:eastAsia="Times New Roman" w:cstheme="minorHAnsi"/>
          <w:sz w:val="24"/>
          <w:szCs w:val="24"/>
          <w:lang w:eastAsia="hu-HU"/>
        </w:rPr>
        <w:t>és ezt az átadás- átvételi jegyzőkönyvben rögzíteni kell.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nagyjavítása során betartandó szabványok jegyzéke: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Dízel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TVG-k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tervszerű karbantartási vizsgálatai és javításai MÁVSZ 2779-1997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kimérése MÁVSZ 2843-1986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vizsgálati lapjai MÁVSZ 2858-1993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és járművek kerékpárjai MÁVSZ 2780/1-1992, MÁVSZ 2780/2-1992, MÁVSZ 2780/4-1992, MÁVSZ 2780/5-1992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és járművek sűrített levegős rendszerének és mechanikus fékjének karbantartása és vizsgálata: MÁVSZ 2873-1992 MÁVSZ 2873/1-1992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Vontatójárművek és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vezérlőkocsik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sűrített levegős rendszerének, mechanikus fékjének karbantartása és vizsgálata: MÁVSZ 2757-1987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vasúti fék és egyéb légtartályok felügyelete és időszakos vizsgálata: MÁVSZ 1382-1978 (módosítva 15/1990 MÁV Ért.)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Pályaépítési és pálya-karbantartási munkagépek és járművek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hordrugói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: MÁVSZ 2792/1-1981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vezetőállásán lévő kapcsolók, műszerek elhelyezése: MÁVSZ 2856-1987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Pályaépítési és pálya-karbantartási munkagépek mérlegelése: MÁVSZ 2839-1986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Pályavasúti munkagépek és járművek belső feliratai: MÁVSZ 2821-1982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Vasúti önjáró munkagépek és járművek külső feliratai: MÁVSZ 2815-1994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Vágányon járó pályaépítési munkagépek műszaki átvétele: MÁVSZ 2822-1993</w:t>
      </w:r>
    </w:p>
    <w:p w:rsidR="001951BC" w:rsidRPr="005876A0" w:rsidRDefault="001951BC" w:rsidP="001951BC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Vágánygépkocsik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végátvétele: MÁVSZ 2747-1987</w:t>
      </w: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>
      <w:pPr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br w:type="page"/>
      </w: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6"/>
        <w:gridCol w:w="449"/>
        <w:gridCol w:w="449"/>
        <w:gridCol w:w="1109"/>
        <w:gridCol w:w="705"/>
        <w:gridCol w:w="886"/>
        <w:gridCol w:w="906"/>
      </w:tblGrid>
      <w:tr w:rsidR="001951BC" w:rsidRPr="00BD6B40" w:rsidTr="001951BC">
        <w:trPr>
          <w:trHeight w:val="619"/>
        </w:trPr>
        <w:tc>
          <w:tcPr>
            <w:tcW w:w="6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 TVG-MÁV 1200 - FŐVIZSGÁLATA. Főjavítása</w:t>
            </w: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163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Javítási nem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Db.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 művelet egységára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Vizsgálati díj</w:t>
            </w: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Tengely Ultrahang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vizsgálat ,MT2</w:t>
            </w:r>
            <w:proofErr w:type="gramEnd"/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db.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14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72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00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Főjavítás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7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Művelet vagy anyagelnevezés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db,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óra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Anyag egységár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Óradíj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Anyag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D í j</w:t>
            </w:r>
          </w:p>
        </w:tc>
      </w:tr>
      <w:tr w:rsidR="001951BC" w:rsidRPr="00BD6B40" w:rsidTr="001951BC">
        <w:trPr>
          <w:trHeight w:val="413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légtartályok le-fel szerel csövezés alakít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7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Légtartályok hatósági nyomáspróbája és hitelesítése 3db.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70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légtartályok nyomáspróbára és ultrahangvizsgálatra előkészít, lefest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58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Nyomásmérők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ki-beszerel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tömít.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Nyomásmérők hitelesítése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58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Fékrendszer levegős mechanikus javítása felújítása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7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Fékrendszer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,pneumatikus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és mechanikus elemek készlete. Féktuskók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,tömlők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stb.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Knorr fékpedál felújított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Pneumatikus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rögzítőfék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felújított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AK hitelesített Tömlő javíttatása hitelesítése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706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Segédüzemi rendszer javítása, légsűrítő, kardánok javít, ki-be szerelése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cseréje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.ékszíjak</w:t>
            </w:r>
            <w:proofErr w:type="spellEnd"/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cseréje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62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Ékszíj cserék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9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Légsűrítő javít, felújít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7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Kardán javíttatása,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előkardán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főmeghajtókardán</w:t>
            </w:r>
            <w:proofErr w:type="spellEnd"/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832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 xml:space="preserve">Diesel motor javítása, Dm. kiszerel, szétköt, motor fődarabok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kimér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minősít, teljes csapágygarnitúra, persely,dugattyú és tömítések telje cseréje. Dm. összeszerel,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beállít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bemér beszerel, beköt. Adagoló javítás, turbójavítás,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előkardán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javítás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,védelmi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berendezések bemérése,beállítása. hengerfejek javítása,szelepek cseréje, porlasztók cseréje beállítása. Olajhűtő javít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,beszerel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Hűtő ki be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javít tisztít. Hűtővízszivattyú újít, vízkör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javít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újít; olajkör javít újít. Kipufogó rendszer újít. Üzemanyagtartályt tisztít.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31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Hengerfejet felújít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2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Deutz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Diesel motor teljes javító készlet alap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Deutz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BF 4M 1013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  /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072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Zetor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MD—UR IV /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6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Tömlők ,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kötőelemek, bilincsek,szűrők a levegő-, víz- ,olaj- gázolajkör javításához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27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Befecskendező pumpák, porlasztók, felújítása 6db.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72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Turbó feltöltő felújítása, javítása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6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Kuplung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kinyomócsapágy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Kuplung F&amp;S MF 395 tengelykapcsoló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31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Gázkar pneumatikus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93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Sebességgváltó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ki-beszerel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beállít, TRIGON vezérlési rendszert javít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7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Sebességváltó átvizsgálása, javítása, szükség esetén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felújítása .ZF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S6-36/2 sebességváltó,.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98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Irányváltó ki-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javít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8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Irányváltó javítókészlet,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szimeringek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csapágyak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1464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Elektromos rendszer javít, generátor indítómotor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le-feszerel</w:t>
            </w:r>
            <w:proofErr w:type="spellEnd"/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,világítóbelső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külső és jelző berendezések javítása,cseréje. Elektromos vezetékrendszer kimérése, javítása, akkumulátorok vizsgálata kezelése, ha kell csere. Vezérlő rendszer vizsgálata javítása.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9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Kenőanyagok motorolaj, váltó olajok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Indító motor felújít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Webastó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fűtés átvizsgál, javít, felújít  </w:t>
            </w:r>
          </w:p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AIR TOP 5 000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generátor felújít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938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Futómű rugók le-fel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javít minősít, ütköző és vonókészülékek,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Ringfeder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félautomata is, le-, felszerel kerékcsapágyak vizsgálata javítása minősítése.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 xml:space="preserve">Tengelyhajtómű olajcsere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szétszerel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vizsgál, javít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Ütköző és vonókészülékek minősítése.4+2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Futómű és alváz teljes kimérése.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38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Karosszéria vizsgálat lépcsők kapaszkodók, ajtók zárak nyílászárók javítása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és  lakatos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munka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70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Vezetőfülke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,utastér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javítása,kárpitozás. Ülések javítása Padlóburkolat csere, korrózióvédelem.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27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Padlóburkolat és szegélyek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58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Üléskárpit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2791"/>
        </w:trPr>
        <w:tc>
          <w:tcPr>
            <w:tcW w:w="9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• A külső festés UV sugárzás- és korrózióálló festékkel történik. Színe a Metró Pályafenntartási Szolgálatnál használatos bordó / RAL 3005 /. A külső festésnél 150 mm széles sárga színű / RAL 1028 /sáv osztja ketté a bordó színezést az alábbi módon: a sáv alsó széle az alváz élétől számított 800 mm magasságtól kezdődik. Az alváz síkja feletti korlátok, kapaszkodók szürke / RAL 7035 / színűek.</w:t>
            </w:r>
          </w:p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• A feliratozás a MÁV és a BKV </w:t>
            </w:r>
            <w:proofErr w:type="spell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előírásai szerint fehér / RAL 9018 / színű.</w:t>
            </w:r>
          </w:p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11"/>
        </w:trPr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Festés külső belső előkészít szóró gittelés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csiszolás alapozás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,  festés,feliratozás.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72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8kg 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bekever ,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bordó / RAL 3005 /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98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Alapozó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27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18kg</w:t>
            </w:r>
            <w:proofErr w:type="gramStart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.fekete</w:t>
            </w:r>
            <w:proofErr w:type="gramEnd"/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színű / RAL 9017 /;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Gitt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Hígító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578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Felületkezelés külső, belső segédanyagok a festéshez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8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Mérlegelés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427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Állópróba, futópróba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solid" w:color="FFFF99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solid" w:color="CCFFFF" w:fill="auto"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Összesen</w:t>
            </w: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31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43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ÁFA:27%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2" w:space="0" w:color="000000"/>
              <w:bottom w:val="single" w:sz="18" w:space="0" w:color="auto"/>
              <w:right w:val="nil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58"/>
        </w:trPr>
        <w:tc>
          <w:tcPr>
            <w:tcW w:w="452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Mind összesen:</w:t>
            </w: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nil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951BC" w:rsidRPr="00BD6B40" w:rsidTr="001951BC">
        <w:trPr>
          <w:trHeight w:val="302"/>
        </w:trPr>
        <w:tc>
          <w:tcPr>
            <w:tcW w:w="452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1BC" w:rsidRPr="005876A0" w:rsidRDefault="001951BC" w:rsidP="00195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>
      <w:pPr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br w:type="page"/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sz w:val="24"/>
          <w:szCs w:val="24"/>
          <w:lang w:eastAsia="hu-HU"/>
        </w:rPr>
        <w:t>VONTATOTT JÁRMŰVEK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metrónál használt speciális vontatott járművek kéttengelyes, sarokütközős, vonóhoroggal, csavar-kapoccsal felszereltek, amelyek kialakítása a MÁV-nál is rendszeresített alkatrészekből történt.</w:t>
      </w: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sarokütközős vasúti teherjárművek futóműve, alváza és az arra szerelt berendezések valamennyi /teher-, szerelő, személyzetszállító-, alagútmosó/ speciális kocsinál azonos! A felépítmény kialakításában van eltérés.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 Járművek alváza: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Tömeg:                 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változó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Tengelyek száma: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2 db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Tengelytávolság:  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4 00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4 000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 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Kerékátmérő:               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 xml:space="preserve">1 000 mm-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Dax.jell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.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kerékpár</w:t>
      </w:r>
      <w:proofErr w:type="gramEnd"/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  Csapágy-görgős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;hordrugó-6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db laprugó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Bejárható legkisebb ívsugár: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60 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60 m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Megengedett sebesség:          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75 km/h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75 km/h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Terhelhetőség:                         22 t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 Ütköző: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gyűrűrugós-munkaemésztős; magasság-</w:t>
      </w:r>
      <w:smartTag w:uri="urn:schemas-microsoft-com:office:smarttags" w:element="metricconverter">
        <w:smartTagPr>
          <w:attr w:name="ProductID" w:val="106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1060 mm</w:t>
        </w:r>
      </w:smartTag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 Vonókészülék:               </w:t>
      </w:r>
      <w:r w:rsidRPr="005876A0">
        <w:rPr>
          <w:rFonts w:eastAsia="Times New Roman" w:cstheme="minorHAnsi"/>
          <w:sz w:val="24"/>
          <w:szCs w:val="24"/>
          <w:lang w:eastAsia="hu-HU"/>
        </w:rPr>
        <w:tab/>
        <w:t>csavarkapocs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Fékberendezés: légfék: KNORR rendszerű; KE 1a kormányszelep,10” fékhenger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                        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rögzítő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fék- csavarorsós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 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Teherkocsi :</w:t>
      </w:r>
      <w:proofErr w:type="gramEnd"/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                 Felépítmény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:padozat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– </w:t>
      </w:r>
      <w:smartTag w:uri="urn:schemas-microsoft-com:office:smarttags" w:element="metricconverter">
        <w:smartTagPr>
          <w:attr w:name="ProductID" w:val="5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50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gyalult fenyő padló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                                  Oldalfal – </w:t>
      </w:r>
      <w:smartTag w:uri="urn:schemas-microsoft-com:office:smarttags" w:element="metricconverter">
        <w:smartTagPr>
          <w:attr w:name="ProductID" w:val="400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400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magas lenyíló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                                                Fékállás – korláttal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védve ;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vészfékváltó+kézifék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ind w:left="2124"/>
        <w:rPr>
          <w:rFonts w:eastAsia="Times New Roman" w:cstheme="minorHAnsi"/>
          <w:color w:val="548DD4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            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color w:val="548DD4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color w:val="548DD4"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vontatott járművek jellemző meghibásodásai:</w:t>
      </w:r>
    </w:p>
    <w:p w:rsidR="00D64441" w:rsidRPr="005876A0" w:rsidRDefault="00D64441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- mechanikai sérülések / oldalfal,</w:t>
      </w:r>
      <w:r w:rsidR="00D6444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876A0">
        <w:rPr>
          <w:rFonts w:eastAsia="Times New Roman" w:cstheme="minorHAnsi"/>
          <w:sz w:val="24"/>
          <w:szCs w:val="24"/>
          <w:lang w:eastAsia="hu-HU"/>
        </w:rPr>
        <w:t>padlózat, rakonca, korlátok, lépcsők, hágcsók, kapcsoló alkatrészek /</w:t>
      </w: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- levegős fékrendszernél- kormányszelep meghibásodások</w:t>
      </w: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color w:val="0000FF"/>
          <w:sz w:val="24"/>
          <w:szCs w:val="24"/>
          <w:lang w:eastAsia="hu-HU"/>
        </w:rPr>
        <w:t xml:space="preserve"> - </w:t>
      </w:r>
      <w:r w:rsidRPr="005876A0">
        <w:rPr>
          <w:rFonts w:eastAsia="Times New Roman" w:cstheme="minorHAnsi"/>
          <w:sz w:val="24"/>
          <w:szCs w:val="24"/>
          <w:lang w:eastAsia="hu-HU"/>
        </w:rPr>
        <w:t>levegőrendszer</w:t>
      </w: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- fékrendszer</w:t>
      </w:r>
    </w:p>
    <w:p w:rsidR="001951BC" w:rsidRPr="005876A0" w:rsidRDefault="001951BC" w:rsidP="005876A0">
      <w:pPr>
        <w:tabs>
          <w:tab w:val="left" w:pos="2880"/>
          <w:tab w:val="left" w:pos="432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- mechanikus elhasználódás</w:t>
      </w: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tabs>
          <w:tab w:val="left" w:pos="2880"/>
          <w:tab w:val="left" w:pos="432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          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fővizsgálat az Ajánlattevő szakműhelyében történjék!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    A vontatott jármű előkészítése fővizsgára</w:t>
      </w:r>
      <w:r w:rsidRPr="005876A0">
        <w:rPr>
          <w:rFonts w:eastAsia="Times New Roman" w:cstheme="minorHAnsi"/>
          <w:sz w:val="24"/>
          <w:szCs w:val="24"/>
          <w:u w:val="single"/>
          <w:lang w:eastAsia="hu-HU"/>
        </w:rPr>
        <w:t xml:space="preserve"> </w:t>
      </w:r>
    </w:p>
    <w:p w:rsidR="001951BC" w:rsidRPr="005876A0" w:rsidRDefault="001951BC" w:rsidP="001951B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vontatott jármű alapszínétől eltérő minden színjelzés helyét, színét, tartalmát és betű típusát a fővizsga megkezdése előtt jegyzőkönyvben kell rögzíteni.</w:t>
      </w:r>
    </w:p>
    <w:p w:rsidR="001951BC" w:rsidRPr="005876A0" w:rsidRDefault="001951BC" w:rsidP="001951B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szétszerelés előtt  üzemi mosóberendezéssel a szennyeződésektől meg kell tisztítani</w:t>
      </w:r>
    </w:p>
    <w:p w:rsidR="001951BC" w:rsidRPr="005876A0" w:rsidRDefault="001951BC" w:rsidP="001951B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csúszó, súrlódó alkatrészeket az elöregedett, elpiszkolódott kenőanyagtól – megfelelő tisztítószerrel meg kell tisztítani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 Főbb szerkezeti egységek fővizsgálata, javítása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Alváz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vontatott járművet meg kell emelni, az alvázat kikötni. További műveletek elvégzéséhez vendég futóműre vagy tartóbakra kell helyezni.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Le kell szerelni az alvázáról a tengelyeket, a légfék és kézifék alkatrészeit, a vonó- és ütközőkészülékeket. Azon egységek, melyek tartósan hegesztéssel vagy szegecskötéssel a vázhoz vannak rögzítve, helyükön maradnak.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alkatrészeitől megfosztott vázat a még szennyezett helyeken meg kell tisztítani a szemrevételezés és a mérések elvégzése érdekében.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alváz kimérést a MÁV szabványokban meghatározottak alapján kell elvégezni.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tartók deformációit egyengetni, javítani, szükség esetén cserélni kell.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vázszerkezet tartó elemeit a szegecs- és hegesztett kötéseket meg kell vizsgálni.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hibás varratok környékét tisztítás és felköszörülés után újra kell hegeszteni a vonatkozó szabványok szerint. A munkát minősített hegesztők végezhetik.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vázon található hágcsók, lépcsők, fogantyúk javítását, szükség esetén cseréjét kell elvégezni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Gondosan meg kell vizsgálni az ágyvezeték állapotát/ sérülés, kopottság…/. Kijavítása egyengetéssel, feltöltő hegesztéssel történhet.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Ellenőrizni kell a fékszerkezeti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támok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állapotát, kopottságát-- amit szükség esetén--, a megfelelő mértékű javításnak kell követni.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alváz hiteles kimérését akadályozó durva hibákat meg kell szüntetni. A kimérést a mindenkori MÁV szabványnak megfelelően kell elvégezni. A méréseknél jelentkező hibákat, a tűréseket meghaladó hibákat ki kell javítani, majd a mérést meg kell ismételni. A mérések eredményét jegyzőkönyvben rögzíteni kell.</w:t>
      </w:r>
    </w:p>
    <w:p w:rsidR="001951BC" w:rsidRPr="005876A0" w:rsidRDefault="001951BC" w:rsidP="001951BC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vázon található csúszó, súrlódó felületeket a  vizsgálat után újra kell zsírozni.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Futómű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Csapágyazás ellenőrzése; a fővizsga alkalmával a csapágyazás ellenőrzését és javítását annak le- és szétszerelésével kell elvégezni.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 vizsgálatra vonatkozó részletes előírásokat tartalmazó MÁV 1856/1 szabványnak megfelelően kell elvégezni.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Szemrevételezéssel kell megvizsgálni a csapágytokot és a fedelet./ törés, repedés, deformáció, egyéb sérülés, a felületek illeszkedése szempontjából / Sérült fedelet visszaszerelni nem szabad. A nem kielégítően illeszkedő felületeket szabályozni kell.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>A csapágytok méreteit a MÁV 1856/2 ill. /3 előírásainak megfelelően kell ellenőrizni.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csapágytok felszerelése csak megfelelő minőségben új rögzítő elemmel szerelhető vissza.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csapágy felszerelése után ellenőrizni kell a csapágy hézagot. Az ellenőrzésre vonatkozó követelményeket a fenti szabványok tartalmazzák.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csapágytokok úgy szabad felszerelni, ha felületek tiszták és a tőcsavarok menete ép.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összeszereléskor meg kell győződni a sasszeg furatának megfelelő helyzetéről. A háznak és a fedélnek hézagmentesen kell illeszkedni.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csapágytokot felszerelése után mindkét irányba meg kell forgatni.  Csak a könnyedén, egyenletesen, zajtalanul forgó csapágyazás fogadható.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Rendellenesség esetén a csapágyazást meg kell bontani, a hibát javítani kell.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külső fedél lezárása után a csavarokat acélhuzallal biztosítani kell.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Kerékpárok vizsgálata; ellenőrzése MÁV 2616/5 irányelvei alapján történhet.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kerékpárokat olyan mértékben szükséges megtisztítani, hogy azon a vizsgálatok elvégezhetők, a hibák felderíthetők és a méretek ellenőrizhetők legyenek.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 kell a tengely ultrahangos vizsgálatát végezni.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Tengelycsapok ellenőrzése; ellenőrizni kell -- a csapvégeken a menetek épségét; a csapágybiztosító lemez hornyainak méreteit, épségét; a kúposságot,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ovalitást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, a csapátmérőt; a labirintgyűrű-ülés palástfelületét, átmérőjét;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Jelentősebb berágódás,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ovalitás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, a két csap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egytengelyűségi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eltérése, valamint a menettűrések megengedettől való eltérése esetén a tengelycsapokat a megengedett határértéken belül fel kell szabályozni.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Ellenőrizni kell a kerékváz és az abroncs összejelölését. Abroncscserét, majd szabályozást kell végrehajtani ha: az abroncs kalapácsütésre nem ad csengő hangot, az abroncs és kerékváz csatlakozó élei és a biztosítógyűrű sérült, az abroncs elmozdul, rozsdakiverődés található a kerék-koszorú és a kerékabroncs között a kerületének több mint egyharmadán.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kerékvázat felületi sérülés és repedés szempontjából szükséges ellenőrizni. A repedés nem engedhető meg!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futófelületen meg kell vizsgálni, hogy van-e 60 mm2-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nél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nagyobb sérülés, </w:t>
      </w:r>
      <w:smartTag w:uri="urn:schemas-microsoft-com:office:smarttags" w:element="metricconverter">
        <w:smartTagPr>
          <w:attr w:name="ProductID" w:val="2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2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sugarúnál kisebb görbületi sugarú éles váll, repedés.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Található-e 2 mm-nél mélyebb, vagy magasabb és 60 mm-nél hosszabb laposodás, illetve felrakódás. A kerékpáron a nyomkarima vastagsága és a kerékátmérő különbség nem haladja meg az 5 mm-t. A felsorolt eseteket a profil „K </w:t>
      </w:r>
      <w:smartTag w:uri="urn:schemas-microsoft-com:office:smarttags" w:element="metricconverter">
        <w:smartTagPr>
          <w:attr w:name="ProductID" w:val="5”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5”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méretre kell szabályozni. A szabályozás akkor végezhető el, ha a méretek a munkák elvégzése után is az előírt határértékeken belül maradnak. A profilszabályozást és a tengelycsapok szabályozását egyidejűleg kell elvégezni.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Ellenőrizni kell a kerékpár jellemző méreteit.</w:t>
      </w:r>
    </w:p>
    <w:p w:rsidR="001951BC" w:rsidRPr="005876A0" w:rsidRDefault="001951BC" w:rsidP="001951BC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vizsgálati eredményeket nyilván kell tartani.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proofErr w:type="spellStart"/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Hordmű</w:t>
      </w:r>
      <w:proofErr w:type="spellEnd"/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fővizsga alkalmával 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hordrugókat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minden esetben ki kell kötni.</w:t>
      </w: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hordrugó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hevedereket, láncszemeket, görgőket, diókat, csapszegeket, keresztfejeket meg kell tisztítani és vizsgálni.</w:t>
      </w: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Ellenőrizni kell a csúszó, súrlódó alkatrészek épségét, kopását. Az erősen kopott alkatrészeket cserélni kell. </w:t>
      </w: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Visszaszerelni csak olyan rugót lehet, amelybe a vizsgálati és javítási jeleket beütötték. Úgy kell visszaszerelni a rugókat, hogy a jelek kívülről láthatóak legyenek.</w:t>
      </w: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bekötésre egy tengely fölé olyan rugókat kell összeválogatni, melyek magassága közötti eltérés nem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több, mint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6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6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>.</w:t>
      </w:r>
    </w:p>
    <w:p w:rsidR="001951BC" w:rsidRPr="005876A0" w:rsidRDefault="001951BC" w:rsidP="001951BC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Bekötés előtt a súrlódó, egymáson elcsúszó alkatrészeket be kell zsírozni.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Vonó-, kapcsoló- és ütközőkészülék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teljes vonókészüléket ki – és szét kell szerelni, az alkatrészeket meg kell tisztítani, majd meg kell vizsgálni kopás, deformálódás, repedés szempontjából. A vonókészülék hibás elemeit ki kell cserélni </w:t>
      </w: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csavarkapcsok épségét ellenőrizni kell, az orsóanyákat be kell járatni. A sérült, megnyúlt, repedt alkatrészt ki kell cserélni!</w:t>
      </w: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Összeszerelés után a vonórudakat be kell állítani, a súrlódó felületeket be kell zsírozni.</w:t>
      </w: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ütközőkészülékeket le kell szerelni és a MÁV 701/2-90 sz. szerint kell elvégezni.</w:t>
      </w: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Az ütközőmagasságot be kell állítani. / Egy kocsinál az ütközőmagasságok közötti eltérés 10 mm-nél nagyobb nem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lehet .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>/</w:t>
      </w:r>
    </w:p>
    <w:p w:rsidR="001951BC" w:rsidRPr="005876A0" w:rsidRDefault="001951BC" w:rsidP="001951B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munkák elvégzését követően a vonó- és ütközőkészülékek felerősítő csavarjainak feszességét, valamint biztosítását ellenőrizni kell.</w:t>
      </w: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Fékberendezés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Típusa :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--légfék KNORR- rendszerű   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KE 1a kormányszelep, 10”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-os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fékhenger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vészfékváltó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rögzítő fék- mechanikus- csavarorsós  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fékberendezés fővizsgálatát és javítását a MÁV 874/1 sz. Irányelvei szerint kell elvégezni.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Fővizsgálatkor a leszerelt légtartályokról a vízleeresztő csavart és egyéb berendezéseket el kell távolítani.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tartályt kívül- belül nagynyomású meleg vizes mosóberendezéssel meg kell tisztítani, a varratokról a festéket is el kell távolítani.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légtartályok vizsgálatát a MÁV 1382 sz. szerint kell végezni.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következő szempontok szerint kell a vizsgálatot elvégezni: korrózió, varratok épsége, deformáció, repedés, a csatlakozó menetek épsége.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tartály ultrahangos vizsgálatát és víznyomás próbáját / repedés, falvastagság / a MÁV1382 sz. szerint kell végezni.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leszerelt alkatrészeket meg kell tisztítani, a javítható részeket javítani kell. A javíthatatlan részeket ki kell cserélni.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>A kormányszelepet le kell szerelni és szakműhelybe kell eljuttatni. Visszaszerelni csak szakműhelyben bevizsgált és az ellenőrzésről szóló okmánnyal ellátott kormányszelepet szabad.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tartósan rögzített / szegecselt, hegesztett / alkatrészeket alapos tisztítás után meg kell vizsgálni. Repedés, törés, görbülés nem engedhető meg.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csővezetékeket sűrített levegővel át kell fúvatni.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Ellenőrizni kell a fékhengerek felerősítését és helyzetét. </w:t>
      </w:r>
      <w:smartTag w:uri="urn:schemas-microsoft-com:office:smarttags" w:element="metricconverter">
        <w:smartTagPr>
          <w:attr w:name="ProductID" w:val="5 mm"/>
        </w:smartTagPr>
        <w:r w:rsidRPr="005876A0">
          <w:rPr>
            <w:rFonts w:eastAsia="Times New Roman" w:cstheme="minorHAnsi"/>
            <w:sz w:val="24"/>
            <w:szCs w:val="24"/>
            <w:lang w:eastAsia="hu-HU"/>
          </w:rPr>
          <w:t>5 mm</w:t>
        </w:r>
      </w:smartTag>
      <w:r w:rsidRPr="005876A0">
        <w:rPr>
          <w:rFonts w:eastAsia="Times New Roman" w:cstheme="minorHAnsi"/>
          <w:sz w:val="24"/>
          <w:szCs w:val="24"/>
          <w:lang w:eastAsia="hu-HU"/>
        </w:rPr>
        <w:t xml:space="preserve"> –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nél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nagyobb eltérés nem engedhető meg. Amennyiben az eltérés nagyobb, úgy az eredeti állapotnak megfelelően kell korrigálni.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 fékhenger fedelét el kell távolítani, a </w:t>
      </w:r>
      <w:proofErr w:type="gramStart"/>
      <w:r w:rsidRPr="005876A0">
        <w:rPr>
          <w:rFonts w:eastAsia="Times New Roman" w:cstheme="minorHAnsi"/>
          <w:sz w:val="24"/>
          <w:szCs w:val="24"/>
          <w:lang w:eastAsia="hu-HU"/>
        </w:rPr>
        <w:t>dugattyúrudat</w:t>
      </w:r>
      <w:proofErr w:type="gram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a dugattyúbőrt, a rugót, a fékhengert szét kell szerelni és korróziót nem okozó tisztítószerrel meg kell tisztítani. A sérült alkatrészt ki kell cserélni! A furatokat sűrített levegővel át kell fúvatni. Ellenőrizni kell a dugattyúrúd, a fedél és a dugattyúcső kopását, a fékhenger átmérőjét, belső felületét. A sérült, vagy kopott alkatrészeket ki kell cserélni! Ellenőrzés után össze kell szerelni és a csavarokat be kell szabályozni.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raksúlyváltót leszerelt állapotban kell szükség esetén megjavítani. A holtjátékot ki kell küszöbölni. A működés szempontjából a MÁV 2504/6 sz. szerint kell a vizsgálatot elvégezni. Amennyiben a működésről felvett diagram eltér a mintadiagramtól,  a készüléket szakműhelybe kell küldeni.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Ügyelni kell arra, hogy a feltüntetett adatok a kocsira érvényes fékszámításban előírt adatokkal megegyezőek legyenek.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rudazatállító vizsgálatát, esetleges javítását el kell végezni, összeszerelni, majd működését ellenőrizni szükséges.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légfék és a kézifék kopott, repedt, törött, deformálódott alkatrészét újakra kell cserélni. A csatlakozó alkatrészeket illeszteni kell. Rendellenes kopás nem megengedett. A furatok és a hozzájuk tartozó csapszegek kopása nem haladhatja meg a MÁV 2327 sz. előírt mértékét. Valamennyi sasszeget, kopott, sérült menetű csavart és anyát, alátétet cserélni kell.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Meg kell vizsgálni a féktuskók állapotát és amennyiben szükséges cserélni kell azokat.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Meg kell vizsgálni a fővezeték végelzáró, kiiktató váltó,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oldószelep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>, a működtető mechanizmusok és tömlők állapotát. Szükség szerint javítani, vagy cserélni kell. A csatlakozó légtömlőket újakra kell cserélni! A kapcsolófejeket meg kell vizsgálni, szükség esetén cserélni kell.</w:t>
      </w:r>
    </w:p>
    <w:p w:rsidR="001951BC" w:rsidRPr="005876A0" w:rsidRDefault="001951BC" w:rsidP="001951BC">
      <w:pPr>
        <w:spacing w:after="0" w:line="240" w:lineRule="auto"/>
        <w:ind w:left="360" w:hanging="1620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összeszerelt fékberendezésen tömörségi próbát kell tartani. A rendszert 5 bar nyomású levegővel kell feltölteni. Sem a vezetékből, sem az egyes elemekből levegőfúvás nem engedhető meg.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3,5 bar nyomáson ellenőrizni kell a fékhenger dugattyú löket-hosszát, beállítását, az elemek működését.</w:t>
      </w:r>
    </w:p>
    <w:p w:rsidR="001951BC" w:rsidRPr="005876A0" w:rsidRDefault="001951BC" w:rsidP="001951BC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fékelemek festését a MÁV 2942 sz. szerint kell elvégezni.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Festés, feliratozás</w:t>
      </w:r>
      <w:r w:rsidRPr="005876A0">
        <w:rPr>
          <w:rFonts w:eastAsia="Times New Roman" w:cstheme="minorHAnsi"/>
          <w:sz w:val="24"/>
          <w:szCs w:val="24"/>
          <w:lang w:eastAsia="hu-HU"/>
        </w:rPr>
        <w:t> 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Az alváz, a futómű, a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hordmű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, a vonó-, kapcsoló és ütközőkészülék, a fékberendezés azon alkatrészei, amelyek a padozat alatt helyezkednek el, valamint a hágcsók festése </w:t>
      </w:r>
      <w:r w:rsidRPr="005876A0">
        <w:rPr>
          <w:rFonts w:eastAsia="Times New Roman" w:cstheme="minorHAnsi"/>
          <w:sz w:val="24"/>
          <w:szCs w:val="24"/>
          <w:lang w:eastAsia="hu-HU"/>
        </w:rPr>
        <w:lastRenderedPageBreak/>
        <w:t>fekete színű / RAL 9017 /; az oldal- és végfalak, valamint a korlátok festése barna / RAL 8015 /,</w:t>
      </w:r>
    </w:p>
    <w:p w:rsidR="001951BC" w:rsidRPr="005876A0" w:rsidRDefault="001951BC" w:rsidP="001951BC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 xml:space="preserve"> a kézifék működtető karja, illetve kereke, valamint az életmentő kapaszkodó piros színű / RAL  3020 /. A feliratozás a MÁV és a BKV 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előírásainak megfelelően fehér / RAL 90                        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76A0">
        <w:rPr>
          <w:rFonts w:eastAsia="Times New Roman" w:cstheme="minorHAnsi"/>
          <w:b/>
          <w:bCs/>
          <w:sz w:val="24"/>
          <w:szCs w:val="24"/>
          <w:lang w:eastAsia="hu-HU"/>
        </w:rPr>
        <w:t>Alacsony oldalfalú teherkocsi / pőre /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oldalfalakat és végfalakat, valamint a biztosító szerkezetet / rakoncát /le kell szerelni, róluk a szennyeződéseket el kell távolítani.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Repedt, törött, deformálódott elemeket a sérülésnek megfelelően javítani kell. A lenyíláshoz szükséges füleket és a furatokat meg kell vizsgálni, szükség esetén javítani. A csapokat szintén meg kell vizsgálni, szükség esetén cserélni, illetve pótolni kell.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Az oldalfal lenyílását megakadályozó szerkezetet le kell szerelni, ellenőrizni és amennyiben szükséges a mechanikai sérüléseket javítani, illetve a szerkezetet cserélni kell. A csapot is ellenőrizni kell. Amennyiben kopott, deformálódott, javítani, amennyiben hiányzik  úgy  pótolni kell.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korlátot, valamint a kapaszkodókat meg kell vizsgálni. Repedt, törött, deformálódott alkatrészeket megtűrni nem szabad! Sérültkorlátot ki kell egyengetni, meg kell hegeszteni, szükség esetén ki kell cserélni. A kapaszkodó hibája csak cserével kiküszöbölhető! Összeszerelés előtt a súrlódó, egymáson elforduló elemeket zsírozni kell. Összeszerelés után ellenőrizni kell működésük helyességét.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padozatról a fapadlókat el kell távolítani. Helyükre új, láng és gombamentes anyaggal beitatott, 2”</w:t>
      </w:r>
      <w:proofErr w:type="spellStart"/>
      <w:r w:rsidRPr="005876A0">
        <w:rPr>
          <w:rFonts w:eastAsia="Times New Roman" w:cstheme="minorHAnsi"/>
          <w:sz w:val="24"/>
          <w:szCs w:val="24"/>
          <w:lang w:eastAsia="hu-HU"/>
        </w:rPr>
        <w:t>-os</w:t>
      </w:r>
      <w:proofErr w:type="spellEnd"/>
      <w:r w:rsidRPr="005876A0">
        <w:rPr>
          <w:rFonts w:eastAsia="Times New Roman" w:cstheme="minorHAnsi"/>
          <w:sz w:val="24"/>
          <w:szCs w:val="24"/>
          <w:lang w:eastAsia="hu-HU"/>
        </w:rPr>
        <w:t xml:space="preserve"> gyalult fenyőpadlót kell visszaszerelni!</w:t>
      </w:r>
    </w:p>
    <w:p w:rsidR="001951BC" w:rsidRPr="005876A0" w:rsidRDefault="001951BC" w:rsidP="001951BC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876A0">
        <w:rPr>
          <w:rFonts w:eastAsia="Times New Roman" w:cstheme="minorHAnsi"/>
          <w:sz w:val="24"/>
          <w:szCs w:val="24"/>
          <w:lang w:eastAsia="hu-HU"/>
        </w:rPr>
        <w:t>A fékállást védő falat és korlátot meg kell vizsgálni, amennyiben törött, deformálódott, úgy az eredeti állapotnak megfelelően kell helyreállítani.</w:t>
      </w:r>
    </w:p>
    <w:p w:rsidR="001951BC" w:rsidRPr="005876A0" w:rsidRDefault="001951BC" w:rsidP="001951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</w:p>
    <w:p w:rsidR="001507D8" w:rsidRPr="005876A0" w:rsidRDefault="001507D8">
      <w:pPr>
        <w:rPr>
          <w:rFonts w:cstheme="minorHAnsi"/>
          <w:sz w:val="24"/>
          <w:szCs w:val="24"/>
        </w:rPr>
      </w:pPr>
    </w:p>
    <w:sectPr w:rsidR="001507D8" w:rsidRPr="0058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B9"/>
    <w:multiLevelType w:val="hybridMultilevel"/>
    <w:tmpl w:val="53D23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C2AA3"/>
    <w:multiLevelType w:val="hybridMultilevel"/>
    <w:tmpl w:val="3404F722"/>
    <w:lvl w:ilvl="0" w:tplc="B574A4E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plc="040E0005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plc="040E000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E0003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plc="040E0005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plc="040E000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E0003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plc="040E0005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2">
    <w:nsid w:val="02407DC8"/>
    <w:multiLevelType w:val="hybridMultilevel"/>
    <w:tmpl w:val="AB8EFD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63238"/>
    <w:multiLevelType w:val="hybridMultilevel"/>
    <w:tmpl w:val="FA16B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132AC"/>
    <w:multiLevelType w:val="hybridMultilevel"/>
    <w:tmpl w:val="720007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37D33"/>
    <w:multiLevelType w:val="multilevel"/>
    <w:tmpl w:val="B2EC96B0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ADC3FA9"/>
    <w:multiLevelType w:val="multilevel"/>
    <w:tmpl w:val="11A07DB8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B7B1DB6"/>
    <w:multiLevelType w:val="hybridMultilevel"/>
    <w:tmpl w:val="1BACF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4875"/>
    <w:multiLevelType w:val="hybridMultilevel"/>
    <w:tmpl w:val="9190A3BE"/>
    <w:lvl w:ilvl="0" w:tplc="6B82B5B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3223A94"/>
    <w:multiLevelType w:val="hybridMultilevel"/>
    <w:tmpl w:val="153AC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D1BE6"/>
    <w:multiLevelType w:val="hybridMultilevel"/>
    <w:tmpl w:val="A5567F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56244"/>
    <w:multiLevelType w:val="hybridMultilevel"/>
    <w:tmpl w:val="088635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87B11"/>
    <w:multiLevelType w:val="hybridMultilevel"/>
    <w:tmpl w:val="5ED819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0CFC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61CA8"/>
    <w:multiLevelType w:val="hybridMultilevel"/>
    <w:tmpl w:val="A09C11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10760"/>
    <w:multiLevelType w:val="multilevel"/>
    <w:tmpl w:val="553E83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D9F2B1F"/>
    <w:multiLevelType w:val="multilevel"/>
    <w:tmpl w:val="705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6">
    <w:nsid w:val="3DA240AB"/>
    <w:multiLevelType w:val="hybridMultilevel"/>
    <w:tmpl w:val="42D0A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C28C3"/>
    <w:multiLevelType w:val="multilevel"/>
    <w:tmpl w:val="EA24F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0E72305"/>
    <w:multiLevelType w:val="hybridMultilevel"/>
    <w:tmpl w:val="61C66B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05725"/>
    <w:multiLevelType w:val="hybridMultilevel"/>
    <w:tmpl w:val="012A0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10496"/>
    <w:multiLevelType w:val="hybridMultilevel"/>
    <w:tmpl w:val="2DE8ACF2"/>
    <w:lvl w:ilvl="0" w:tplc="A73631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C49C1"/>
    <w:multiLevelType w:val="hybridMultilevel"/>
    <w:tmpl w:val="75F6E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F7BB8"/>
    <w:multiLevelType w:val="multilevel"/>
    <w:tmpl w:val="29A86CB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81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81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81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4F5A063A"/>
    <w:multiLevelType w:val="multilevel"/>
    <w:tmpl w:val="E490E56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52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573F557B"/>
    <w:multiLevelType w:val="hybridMultilevel"/>
    <w:tmpl w:val="468CC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B4673"/>
    <w:multiLevelType w:val="hybridMultilevel"/>
    <w:tmpl w:val="EA1CE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C7124"/>
    <w:multiLevelType w:val="hybridMultilevel"/>
    <w:tmpl w:val="424E0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B0430"/>
    <w:multiLevelType w:val="hybridMultilevel"/>
    <w:tmpl w:val="9FE49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836E2"/>
    <w:multiLevelType w:val="hybridMultilevel"/>
    <w:tmpl w:val="67325F8E"/>
    <w:lvl w:ilvl="0" w:tplc="6B82B5B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867652C"/>
    <w:multiLevelType w:val="hybridMultilevel"/>
    <w:tmpl w:val="06E839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3C88"/>
    <w:multiLevelType w:val="hybridMultilevel"/>
    <w:tmpl w:val="FFAC16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9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5"/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16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C"/>
    <w:rsid w:val="000F67FB"/>
    <w:rsid w:val="001507D8"/>
    <w:rsid w:val="001951BC"/>
    <w:rsid w:val="001F7282"/>
    <w:rsid w:val="0050269D"/>
    <w:rsid w:val="005876A0"/>
    <w:rsid w:val="007B776D"/>
    <w:rsid w:val="00843100"/>
    <w:rsid w:val="009B571C"/>
    <w:rsid w:val="00AB68F0"/>
    <w:rsid w:val="00B1190E"/>
    <w:rsid w:val="00BD6B40"/>
    <w:rsid w:val="00D64441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B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57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7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571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571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7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B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57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7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571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571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7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3731</Words>
  <Characters>25748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 Attila</dc:creator>
  <cp:lastModifiedBy>Szabó Péter</cp:lastModifiedBy>
  <cp:revision>6</cp:revision>
  <dcterms:created xsi:type="dcterms:W3CDTF">2014-09-23T11:21:00Z</dcterms:created>
  <dcterms:modified xsi:type="dcterms:W3CDTF">2014-11-12T09:44:00Z</dcterms:modified>
</cp:coreProperties>
</file>